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08</w:t>
      </w:r>
      <w:r w:rsidR="004C1A17" w:rsidRPr="009B171C">
        <w:rPr>
          <w:b/>
          <w:sz w:val="20"/>
        </w:rPr>
        <w:t>:</w:t>
      </w:r>
      <w:r w:rsidR="00C42B00">
        <w:rPr>
          <w:b/>
          <w:sz w:val="20"/>
        </w:rPr>
        <w:t>2</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C42B00" w:rsidRPr="00C42B00">
        <w:rPr>
          <w:b/>
          <w:sz w:val="20"/>
        </w:rPr>
        <w:t>Легковой автомобиль NISSAN ALMERA, 2018 г.в., г/н: В967УТ122, VIN: Z8NAJL10060121087, цвет белый (залог)</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C42B00" w:rsidRPr="00C42B00">
        <w:rPr>
          <w:b/>
          <w:sz w:val="20"/>
        </w:rPr>
        <w:t xml:space="preserve">НО, </w:t>
      </w:r>
      <w:proofErr w:type="spellStart"/>
      <w:r w:rsidR="00C42B00" w:rsidRPr="00C42B00">
        <w:rPr>
          <w:b/>
          <w:sz w:val="20"/>
        </w:rPr>
        <w:t>Коченевский</w:t>
      </w:r>
      <w:proofErr w:type="spellEnd"/>
      <w:r w:rsidR="00C42B00" w:rsidRPr="00C42B00">
        <w:rPr>
          <w:b/>
          <w:sz w:val="20"/>
        </w:rPr>
        <w:t xml:space="preserve"> р-н, с. </w:t>
      </w:r>
      <w:proofErr w:type="spellStart"/>
      <w:r w:rsidR="00C42B00" w:rsidRPr="00C42B00">
        <w:rPr>
          <w:b/>
          <w:sz w:val="20"/>
        </w:rPr>
        <w:t>Прокудское</w:t>
      </w:r>
      <w:proofErr w:type="spellEnd"/>
      <w:r w:rsidR="00C42B00" w:rsidRPr="00C42B00">
        <w:rPr>
          <w:b/>
          <w:sz w:val="20"/>
        </w:rPr>
        <w:t>, ул. Фабричная, д. 51.</w:t>
      </w:r>
    </w:p>
    <w:p w:rsidR="00C42B00" w:rsidRDefault="00C42B00" w:rsidP="004C1A17">
      <w:pPr>
        <w:tabs>
          <w:tab w:val="left" w:pos="298"/>
        </w:tabs>
        <w:ind w:firstLine="567"/>
        <w:jc w:val="both"/>
        <w:rPr>
          <w:b/>
          <w:sz w:val="20"/>
        </w:rPr>
      </w:pPr>
      <w:r w:rsidRPr="00C42B00">
        <w:rPr>
          <w:b/>
          <w:sz w:val="20"/>
        </w:rPr>
        <w:t>Контактное лицо Ответственного хранителя: 89529121841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C42B00">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C42B00" w:rsidRPr="00C42B00">
        <w:rPr>
          <w:b/>
          <w:sz w:val="20"/>
        </w:rPr>
        <w:t>367 335</w:t>
      </w:r>
      <w:r w:rsidR="00607C5C">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C42B00" w:rsidRPr="00C42B00">
        <w:rPr>
          <w:b/>
          <w:sz w:val="20"/>
        </w:rPr>
        <w:t xml:space="preserve">55 100,25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0816A1" w:rsidRDefault="004C1A17" w:rsidP="000816A1">
      <w:pPr>
        <w:tabs>
          <w:tab w:val="left" w:pos="298"/>
        </w:tabs>
        <w:ind w:firstLine="567"/>
        <w:jc w:val="both"/>
        <w:rPr>
          <w:sz w:val="20"/>
        </w:rPr>
      </w:pPr>
      <w:r w:rsidRPr="00A3279E">
        <w:rPr>
          <w:sz w:val="18"/>
          <w:szCs w:val="18"/>
        </w:rPr>
        <w:t xml:space="preserve">Основание реализации – </w:t>
      </w:r>
      <w:r w:rsidR="00C42B00" w:rsidRPr="00C42B00">
        <w:rPr>
          <w:sz w:val="20"/>
        </w:rPr>
        <w:t xml:space="preserve">Постановление о передаче арестованного имущества на торги ведущего судебного пристава-исполнителя ОСП по Заельцовскому району - </w:t>
      </w:r>
      <w:proofErr w:type="spellStart"/>
      <w:r w:rsidR="00C42B00" w:rsidRPr="00C42B00">
        <w:rPr>
          <w:sz w:val="20"/>
        </w:rPr>
        <w:t>Шигаевой</w:t>
      </w:r>
      <w:proofErr w:type="spellEnd"/>
      <w:r w:rsidR="00C42B00" w:rsidRPr="00C42B00">
        <w:rPr>
          <w:sz w:val="20"/>
        </w:rPr>
        <w:t xml:space="preserve"> Н.Н. от 27.08.2025,  уведомление о готовности к реализации арестованного имущества № 574 от 28.08.2025, должник – Пономарев В.П.</w:t>
      </w:r>
    </w:p>
    <w:p w:rsidR="00CC7F66" w:rsidRPr="009B171C" w:rsidRDefault="004C1A17" w:rsidP="000816A1">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607C5C" w:rsidRPr="009B171C" w:rsidRDefault="00607C5C"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08</w:t>
      </w:r>
      <w:r w:rsidR="0005111E" w:rsidRPr="0005111E">
        <w:rPr>
          <w:b/>
          <w:sz w:val="22"/>
        </w:rPr>
        <w:t>:</w:t>
      </w:r>
      <w:r w:rsidR="00C42B00">
        <w:rPr>
          <w:b/>
          <w:sz w:val="22"/>
        </w:rPr>
        <w:t>2</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w:t>
      </w:r>
      <w:r w:rsidRPr="00092883">
        <w:rPr>
          <w:sz w:val="22"/>
          <w:szCs w:val="22"/>
        </w:rPr>
        <w:lastRenderedPageBreak/>
        <w:t xml:space="preserve">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08</w:t>
      </w:r>
      <w:r w:rsidR="00934BD8">
        <w:rPr>
          <w:b/>
          <w:sz w:val="22"/>
          <w:szCs w:val="22"/>
        </w:rPr>
        <w:t>:</w:t>
      </w:r>
      <w:r w:rsidR="00C42B00">
        <w:rPr>
          <w:b/>
          <w:sz w:val="22"/>
          <w:szCs w:val="22"/>
        </w:rPr>
        <w:t>2</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lastRenderedPageBreak/>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816A1"/>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2B00"/>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7048</Words>
  <Characters>40178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2026-01-19T10:44:00Z</dcterms:created>
  <dcterms:modified xsi:type="dcterms:W3CDTF">2026-01-19T10:44:00Z</dcterms:modified>
</cp:coreProperties>
</file>