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Извещение</w:t>
      </w:r>
    </w:p>
    <w:p w14:paraId="04000000">
      <w:pPr>
        <w:ind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 xml:space="preserve">о проведении торгов </w:t>
      </w:r>
      <w:r>
        <w:rPr>
          <w:rFonts w:ascii="Times New Roman" w:hAnsi="Times New Roman"/>
          <w:b w:val="1"/>
          <w:color w:val="000000"/>
        </w:rPr>
        <w:t xml:space="preserve">в электронной форме </w:t>
      </w:r>
      <w:r>
        <w:rPr>
          <w:rFonts w:ascii="Times New Roman" w:hAnsi="Times New Roman"/>
          <w:b w:val="1"/>
          <w:color w:val="000000"/>
        </w:rPr>
        <w:t>по продаже арестованного имущества</w:t>
      </w:r>
      <w:r>
        <w:rPr>
          <w:rFonts w:ascii="Times New Roman" w:hAnsi="Times New Roman"/>
          <w:b w:val="1"/>
          <w:color w:val="000000"/>
        </w:rPr>
        <w:t>.</w:t>
      </w:r>
    </w:p>
    <w:p w14:paraId="05000000">
      <w:pPr>
        <w:ind/>
        <w:jc w:val="center"/>
        <w:rPr>
          <w:rFonts w:ascii="Times New Roman" w:hAnsi="Times New Roman"/>
          <w:b w:val="1"/>
          <w:color w:val="000000"/>
        </w:rPr>
      </w:pPr>
    </w:p>
    <w:p w14:paraId="06000000">
      <w:pPr>
        <w:widowControl w:val="0"/>
        <w:tabs>
          <w:tab w:leader="none" w:pos="284" w:val="left"/>
          <w:tab w:leader="none" w:pos="658" w:val="left"/>
        </w:tabs>
        <w:ind w:firstLine="567"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 xml:space="preserve">1. Организатор аукциона, продавец: </w:t>
      </w:r>
      <w:r>
        <w:rPr>
          <w:rFonts w:ascii="Times New Roman" w:hAnsi="Times New Roman"/>
          <w:color w:val="000000"/>
        </w:rPr>
        <w:t xml:space="preserve">Территориальное управление Федерального агентства по управлению государственным имуществом в Республике Ингушетия (далее — ТУ Росимущества в РИ, Организатор торгов) </w:t>
      </w:r>
    </w:p>
    <w:p w14:paraId="07000000">
      <w:pPr>
        <w:widowControl w:val="0"/>
        <w:tabs>
          <w:tab w:leader="none" w:pos="284" w:val="left"/>
          <w:tab w:leader="none" w:pos="658" w:val="left"/>
        </w:tabs>
        <w:ind w:firstLine="567"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2. Форма аукциона:</w:t>
      </w:r>
      <w:r>
        <w:rPr>
          <w:rFonts w:ascii="Times New Roman" w:hAnsi="Times New Roman"/>
          <w:color w:val="000000"/>
        </w:rPr>
        <w:t xml:space="preserve"> аукцион в электронной форме, открытый по составу участников и по форме подачи предложений о цене имущества (далее — аукцион, торги).</w:t>
      </w:r>
    </w:p>
    <w:p w14:paraId="08000000">
      <w:pPr>
        <w:widowControl w:val="0"/>
        <w:tabs>
          <w:tab w:leader="none" w:pos="284" w:val="left"/>
          <w:tab w:leader="none" w:pos="658" w:val="left"/>
        </w:tabs>
        <w:ind w:firstLine="567"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 xml:space="preserve">3. Место проведения аукциона: </w:t>
      </w:r>
      <w:r>
        <w:rPr>
          <w:rFonts w:ascii="Times New Roman" w:hAnsi="Times New Roman"/>
          <w:color w:val="000000"/>
        </w:rPr>
        <w:t xml:space="preserve">аукцион проводится на электронной торговой площадке «Сбер А» (АО «Сбербанк-АСТ»), в сети Интернет по адресу </w:t>
      </w:r>
      <w:r>
        <w:rPr>
          <w:rFonts w:ascii="Times New Roman" w:hAnsi="Times New Roman"/>
          <w:color w:val="000000"/>
        </w:rPr>
        <w:t>www</w:t>
      </w:r>
      <w:r>
        <w:rPr>
          <w:rFonts w:ascii="Times New Roman" w:hAnsi="Times New Roman"/>
          <w:color w:val="000000"/>
        </w:rPr>
        <w:t xml:space="preserve">.utp.sberbank-ast.ru (далее 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>— ЭТП «Сбербанк-АСТ», ЭТП).</w:t>
      </w:r>
    </w:p>
    <w:p w14:paraId="09000000">
      <w:pPr>
        <w:widowControl w:val="0"/>
        <w:tabs>
          <w:tab w:leader="none" w:pos="284" w:val="left"/>
          <w:tab w:leader="none" w:pos="658" w:val="left"/>
        </w:tabs>
        <w:ind w:firstLine="567"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4. Дата и время начала приема заявок на участие в аукционе</w:t>
      </w:r>
      <w:r>
        <w:rPr>
          <w:rFonts w:ascii="Times New Roman" w:hAnsi="Times New Roman"/>
          <w:color w:val="000000"/>
        </w:rPr>
        <w:t xml:space="preserve"> — 23 января</w:t>
      </w: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>2026</w:t>
      </w:r>
      <w:r>
        <w:rPr>
          <w:rFonts w:ascii="Times New Roman" w:hAnsi="Times New Roman"/>
          <w:color w:val="000000"/>
        </w:rPr>
        <w:t> г. с 09:‍</w:t>
      </w:r>
      <w:r>
        <w:rPr>
          <w:rFonts w:ascii="Times New Roman" w:hAnsi="Times New Roman"/>
          <w:color w:val="000000"/>
        </w:rPr>
        <w:t>00</w:t>
      </w:r>
      <w:r>
        <w:rPr>
          <w:rFonts w:ascii="Times New Roman" w:hAnsi="Times New Roman"/>
          <w:color w:val="000000"/>
        </w:rPr>
        <w:t xml:space="preserve"> по московскому времени.</w:t>
      </w:r>
    </w:p>
    <w:p w14:paraId="0A000000">
      <w:pPr>
        <w:widowControl w:val="0"/>
        <w:tabs>
          <w:tab w:leader="none" w:pos="284" w:val="left"/>
          <w:tab w:leader="none" w:pos="658" w:val="left"/>
        </w:tabs>
        <w:ind w:firstLine="567"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5. Дата окончания приема заявок на участие в аукционе</w:t>
      </w:r>
      <w:r>
        <w:rPr>
          <w:rFonts w:ascii="Times New Roman" w:hAnsi="Times New Roman"/>
          <w:color w:val="000000"/>
        </w:rPr>
        <w:t xml:space="preserve"> — 19 февраля </w:t>
      </w:r>
      <w:r>
        <w:rPr>
          <w:rFonts w:ascii="Times New Roman" w:hAnsi="Times New Roman"/>
          <w:color w:val="000000"/>
        </w:rPr>
        <w:t>2026</w:t>
      </w:r>
      <w:r>
        <w:rPr>
          <w:rFonts w:ascii="Times New Roman" w:hAnsi="Times New Roman"/>
          <w:color w:val="000000"/>
        </w:rPr>
        <w:t> г. до 17‍:‍</w:t>
      </w:r>
      <w:r>
        <w:rPr>
          <w:rFonts w:ascii="Times New Roman" w:hAnsi="Times New Roman"/>
          <w:color w:val="000000"/>
        </w:rPr>
        <w:t>00</w:t>
      </w:r>
      <w:r>
        <w:rPr>
          <w:rFonts w:ascii="Times New Roman" w:hAnsi="Times New Roman"/>
          <w:color w:val="000000"/>
        </w:rPr>
        <w:t xml:space="preserve"> по московскому времени.</w:t>
      </w:r>
    </w:p>
    <w:p w14:paraId="0B000000">
      <w:pPr>
        <w:widowControl w:val="0"/>
        <w:tabs>
          <w:tab w:leader="none" w:pos="284" w:val="left"/>
          <w:tab w:leader="none" w:pos="658" w:val="left"/>
        </w:tabs>
        <w:ind w:firstLine="567"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 xml:space="preserve">6. Время и место приема заявок - </w:t>
      </w:r>
      <w:r>
        <w:rPr>
          <w:rFonts w:ascii="Times New Roman" w:hAnsi="Times New Roman"/>
          <w:color w:val="000000"/>
        </w:rPr>
        <w:t>з</w:t>
      </w:r>
      <w:r>
        <w:rPr>
          <w:rFonts w:ascii="Times New Roman" w:hAnsi="Times New Roman"/>
          <w:color w:val="000000"/>
        </w:rPr>
        <w:t xml:space="preserve">аявки подаются круглосуточно в период с начала приема заявок до окончания приема заявок через электронную торговую площадку 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>«Сбербанк-АСТ»</w:t>
      </w:r>
      <w:r>
        <w:rPr>
          <w:rFonts w:ascii="Times New Roman" w:hAnsi="Times New Roman"/>
          <w:color w:val="000000"/>
        </w:rPr>
        <w:t xml:space="preserve"> в соответствии с порядком, указанным в настоящем извещении, </w:t>
      </w:r>
      <w:r>
        <w:rPr>
          <w:rFonts w:ascii="Times New Roman" w:hAnsi="Times New Roman"/>
          <w:color w:val="000000"/>
        </w:rPr>
        <w:t xml:space="preserve">размещенным на официальном сайте Российской Федерации для размещения информации 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>о проведении торгов (</w:t>
      </w:r>
      <w:r>
        <w:rPr>
          <w:rFonts w:ascii="Times New Roman" w:hAnsi="Times New Roman"/>
          <w:color w:val="000000"/>
        </w:rPr>
        <w:t>www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torgi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gov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ru</w:t>
      </w:r>
      <w:r>
        <w:rPr>
          <w:rFonts w:ascii="Times New Roman" w:hAnsi="Times New Roman"/>
          <w:color w:val="000000"/>
        </w:rPr>
        <w:t xml:space="preserve">), и на сайте ЭТП «Сбербанк-АСТ», а также 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>в соответствии с регламентом ЭТП «Сбербанк-АСТ».</w:t>
      </w:r>
    </w:p>
    <w:p w14:paraId="0C000000">
      <w:pPr>
        <w:widowControl w:val="0"/>
        <w:tabs>
          <w:tab w:leader="none" w:pos="284" w:val="left"/>
          <w:tab w:leader="none" w:pos="658" w:val="left"/>
        </w:tabs>
        <w:ind w:firstLine="567"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7. Дата, время и место подведения итогов приема заявок на участие в торгах —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>20 февраля </w:t>
      </w:r>
      <w:r>
        <w:rPr>
          <w:rFonts w:ascii="Times New Roman" w:hAnsi="Times New Roman"/>
          <w:color w:val="000000"/>
        </w:rPr>
        <w:t>2026</w:t>
      </w:r>
      <w:r>
        <w:rPr>
          <w:rFonts w:ascii="Times New Roman" w:hAnsi="Times New Roman"/>
          <w:color w:val="000000"/>
        </w:rPr>
        <w:t> г. в 10:‍</w:t>
      </w:r>
      <w:r>
        <w:rPr>
          <w:rFonts w:ascii="Times New Roman" w:hAnsi="Times New Roman"/>
          <w:color w:val="000000"/>
        </w:rPr>
        <w:t>00</w:t>
      </w:r>
      <w:r>
        <w:rPr>
          <w:rFonts w:ascii="Times New Roman" w:hAnsi="Times New Roman"/>
          <w:color w:val="000000"/>
        </w:rPr>
        <w:t xml:space="preserve"> по московскому времени по адресу: Республика Ингушетия, г. Назрань, ул. Победы, д. 3.</w:t>
      </w:r>
    </w:p>
    <w:p w14:paraId="0D000000">
      <w:pPr>
        <w:widowControl w:val="0"/>
        <w:tabs>
          <w:tab w:leader="none" w:pos="284" w:val="left"/>
          <w:tab w:leader="none" w:pos="658" w:val="left"/>
        </w:tabs>
        <w:ind w:firstLine="567"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8. Дата, время и место проведения торгов (подведения итогов торгов)</w:t>
      </w:r>
      <w:r>
        <w:rPr>
          <w:rFonts w:ascii="Times New Roman" w:hAnsi="Times New Roman"/>
          <w:color w:val="000000"/>
        </w:rPr>
        <w:t xml:space="preserve"> — 24 февраля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>2026</w:t>
      </w:r>
      <w:r>
        <w:rPr>
          <w:rFonts w:ascii="Times New Roman" w:hAnsi="Times New Roman"/>
          <w:color w:val="000000"/>
        </w:rPr>
        <w:t> г. в </w:t>
      </w:r>
      <w:r>
        <w:rPr>
          <w:rFonts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</w:rPr>
        <w:t>0</w:t>
      </w:r>
      <w:r>
        <w:rPr>
          <w:rFonts w:ascii="Times New Roman" w:hAnsi="Times New Roman"/>
          <w:color w:val="000000"/>
        </w:rPr>
        <w:t>‍:‍</w:t>
      </w:r>
      <w:r>
        <w:rPr>
          <w:rFonts w:ascii="Times New Roman" w:hAnsi="Times New Roman"/>
          <w:color w:val="000000"/>
        </w:rPr>
        <w:t>00</w:t>
      </w:r>
      <w:r>
        <w:rPr>
          <w:rFonts w:ascii="Times New Roman" w:hAnsi="Times New Roman"/>
          <w:color w:val="000000"/>
        </w:rPr>
        <w:t xml:space="preserve"> по московскому времени на ЭТП «Сбербанк-АСТ».</w:t>
      </w:r>
    </w:p>
    <w:p w14:paraId="0E000000">
      <w:pPr>
        <w:widowControl w:val="0"/>
        <w:tabs>
          <w:tab w:leader="none" w:pos="284" w:val="left"/>
          <w:tab w:leader="none" w:pos="658" w:val="left"/>
        </w:tabs>
        <w:ind w:firstLine="567" w:left="0"/>
        <w:jc w:val="both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9. Правовое основания для проведения торгов и правовое регулирование:</w:t>
      </w:r>
    </w:p>
    <w:p w14:paraId="0F000000">
      <w:pPr>
        <w:widowControl w:val="0"/>
        <w:tabs>
          <w:tab w:leader="none" w:pos="284" w:val="left"/>
          <w:tab w:leader="none" w:pos="658" w:val="left"/>
        </w:tabs>
        <w:ind w:firstLine="567"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Настоящий аукцион проводится в соответствии с положениями </w:t>
      </w:r>
      <w:r>
        <w:rPr>
          <w:rFonts w:ascii="Times New Roman" w:hAnsi="Times New Roman"/>
          <w:color w:val="000000"/>
          <w:highlight w:val="white"/>
        </w:rPr>
        <w:t>Гражданского кодекса Российской Федерации, Федеральн</w:t>
      </w:r>
      <w:r>
        <w:rPr>
          <w:rFonts w:ascii="Times New Roman" w:hAnsi="Times New Roman"/>
          <w:color w:val="000000"/>
          <w:highlight w:val="white"/>
        </w:rPr>
        <w:t>ого</w:t>
      </w:r>
      <w:r>
        <w:rPr>
          <w:rFonts w:ascii="Times New Roman" w:hAnsi="Times New Roman"/>
          <w:color w:val="000000"/>
          <w:highlight w:val="white"/>
        </w:rPr>
        <w:t xml:space="preserve"> закон</w:t>
      </w:r>
      <w:r>
        <w:rPr>
          <w:rFonts w:ascii="Times New Roman" w:hAnsi="Times New Roman"/>
          <w:color w:val="000000"/>
          <w:highlight w:val="white"/>
        </w:rPr>
        <w:t>а</w:t>
      </w:r>
      <w:r>
        <w:rPr>
          <w:rFonts w:ascii="Times New Roman" w:hAnsi="Times New Roman"/>
          <w:color w:val="000000"/>
          <w:highlight w:val="white"/>
        </w:rPr>
        <w:t xml:space="preserve"> </w:t>
      </w:r>
      <w:r>
        <w:rPr>
          <w:rFonts w:ascii="Times New Roman" w:hAnsi="Times New Roman"/>
          <w:color w:val="000000"/>
          <w:highlight w:val="white"/>
        </w:rPr>
        <w:t>от 2 октября 2007 г. № 229-ФЗ «Об исполнительном производстве»;</w:t>
      </w:r>
      <w:r>
        <w:rPr>
          <w:rFonts w:ascii="Times New Roman" w:hAnsi="Times New Roman"/>
          <w:color w:val="000000"/>
        </w:rPr>
        <w:t xml:space="preserve"> и иными нормативными правовыми актами Российской Федерации, а также регламентом электронной торговой площадки, размещенным на сайте </w:t>
      </w:r>
      <w:r>
        <w:rPr>
          <w:rFonts w:ascii="Times New Roman" w:hAnsi="Times New Roman"/>
          <w:color w:val="000000"/>
        </w:rPr>
        <w:t>www.utp.sberbank-ast.ru в подразделах «Информация», «Регламент работы УТП», «Инструкции», «Информация по ТС», «Регламент ТС», «Инструкции по работе в ТС», иными локальными документами ЭТП.</w:t>
      </w:r>
    </w:p>
    <w:p w14:paraId="10000000">
      <w:pPr>
        <w:widowControl w:val="0"/>
        <w:tabs>
          <w:tab w:leader="none" w:pos="284" w:val="left"/>
          <w:tab w:leader="none" w:pos="658" w:val="left"/>
        </w:tabs>
        <w:ind w:firstLine="567" w:left="0"/>
        <w:jc w:val="both"/>
        <w:rPr>
          <w:rFonts w:ascii="Times New Roman" w:hAnsi="Times New Roman"/>
          <w:color w:val="000000"/>
        </w:rPr>
      </w:pPr>
    </w:p>
    <w:p w14:paraId="11000000">
      <w:pPr>
        <w:widowControl w:val="0"/>
        <w:tabs>
          <w:tab w:leader="none" w:pos="284" w:val="left"/>
          <w:tab w:leader="none" w:pos="658" w:val="left"/>
        </w:tabs>
        <w:ind w:firstLine="567" w:left="0"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b w:val="1"/>
          <w:color w:val="000000"/>
        </w:rPr>
        <w:t>I. Сведения о выставляемом на торги имуществе:</w:t>
      </w:r>
    </w:p>
    <w:p w14:paraId="12000000">
      <w:pPr>
        <w:ind/>
        <w:jc w:val="both"/>
        <w:rPr>
          <w:rFonts w:ascii="Calibri" w:hAnsi="Calibri"/>
          <w:sz w:val="24"/>
        </w:rPr>
      </w:pPr>
      <w:r>
        <w:rPr>
          <w:rFonts w:ascii="Times New Roman" w:hAnsi="Times New Roman"/>
          <w:b w:val="1"/>
          <w:color w:val="000000"/>
        </w:rPr>
        <w:t xml:space="preserve">Лот № 1. </w:t>
      </w:r>
      <w:r>
        <w:rPr>
          <w:rFonts w:ascii="Times New Roman" w:hAnsi="Times New Roman"/>
          <w:sz w:val="24"/>
        </w:rPr>
        <w:t xml:space="preserve">Легковой автомобиль </w:t>
      </w:r>
      <w:r>
        <w:rPr>
          <w:rFonts w:ascii="Times New Roman" w:hAnsi="Times New Roman"/>
          <w:sz w:val="24"/>
        </w:rPr>
        <w:t>TOYOTA CAMRI</w:t>
      </w:r>
      <w:r>
        <w:rPr>
          <w:rFonts w:ascii="Times New Roman" w:hAnsi="Times New Roman"/>
          <w:sz w:val="24"/>
        </w:rPr>
        <w:t>, 2021 г</w:t>
      </w:r>
      <w:r>
        <w:rPr>
          <w:rFonts w:ascii="Times New Roman" w:hAnsi="Times New Roman"/>
          <w:sz w:val="24"/>
        </w:rPr>
        <w:t xml:space="preserve">ода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ыпуска</w:t>
      </w:r>
      <w:r>
        <w:rPr>
          <w:rFonts w:ascii="Times New Roman" w:hAnsi="Times New Roman"/>
          <w:sz w:val="24"/>
        </w:rPr>
        <w:t>, цвет</w:t>
      </w:r>
      <w:r>
        <w:rPr>
          <w:rFonts w:ascii="Times New Roman" w:hAnsi="Times New Roman"/>
          <w:sz w:val="24"/>
        </w:rPr>
        <w:t xml:space="preserve"> –</w:t>
      </w:r>
      <w:r>
        <w:rPr>
          <w:rFonts w:ascii="Times New Roman" w:hAnsi="Times New Roman"/>
          <w:sz w:val="24"/>
        </w:rPr>
        <w:t xml:space="preserve"> белый перламутр / черная крыша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идентификационный номер (</w:t>
      </w:r>
      <w:r>
        <w:rPr>
          <w:rFonts w:ascii="Times New Roman" w:hAnsi="Times New Roman"/>
          <w:sz w:val="24"/>
        </w:rPr>
        <w:t>VIN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ХW7B13HK60S210449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</w:t>
      </w:r>
      <w:r>
        <w:rPr>
          <w:rFonts w:ascii="Times New Roman" w:hAnsi="Times New Roman"/>
          <w:sz w:val="24"/>
        </w:rPr>
        <w:t xml:space="preserve">осударственный 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омер</w:t>
      </w:r>
      <w:r>
        <w:rPr>
          <w:rFonts w:ascii="Times New Roman" w:hAnsi="Times New Roman"/>
          <w:sz w:val="24"/>
        </w:rPr>
        <w:t xml:space="preserve"> А133УС799</w:t>
      </w:r>
      <w:r>
        <w:rPr>
          <w:rFonts w:ascii="Times New Roman" w:hAnsi="Times New Roman"/>
          <w:sz w:val="24"/>
        </w:rPr>
        <w:t>, номер двигателя А25А0894502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объем двигателя</w:t>
      </w:r>
      <w:r>
        <w:rPr>
          <w:rFonts w:ascii="Times New Roman" w:hAnsi="Times New Roman"/>
          <w:color w:val="000000"/>
          <w:sz w:val="24"/>
        </w:rPr>
        <w:t xml:space="preserve"> -</w:t>
      </w:r>
      <w:r>
        <w:rPr>
          <w:rFonts w:ascii="Times New Roman" w:hAnsi="Times New Roman"/>
          <w:color w:val="000000"/>
          <w:sz w:val="24"/>
        </w:rPr>
        <w:t xml:space="preserve"> 2487</w:t>
      </w:r>
      <w:r>
        <w:rPr>
          <w:rFonts w:ascii="Times New Roman" w:hAnsi="Times New Roman"/>
          <w:color w:val="000000"/>
          <w:sz w:val="24"/>
        </w:rPr>
        <w:t xml:space="preserve"> куб.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см, мощность двигателя</w:t>
      </w:r>
      <w:r>
        <w:rPr>
          <w:rFonts w:ascii="Times New Roman" w:hAnsi="Times New Roman"/>
          <w:color w:val="000000"/>
          <w:sz w:val="24"/>
        </w:rPr>
        <w:t xml:space="preserve"> –</w:t>
      </w:r>
      <w:r>
        <w:rPr>
          <w:rFonts w:ascii="Times New Roman" w:hAnsi="Times New Roman"/>
          <w:color w:val="000000"/>
          <w:sz w:val="24"/>
        </w:rPr>
        <w:t xml:space="preserve"> 147 </w:t>
      </w:r>
      <w:r>
        <w:rPr>
          <w:rFonts w:ascii="Times New Roman" w:hAnsi="Times New Roman"/>
          <w:color w:val="000000"/>
          <w:sz w:val="24"/>
        </w:rPr>
        <w:t xml:space="preserve">кВт </w:t>
      </w:r>
      <w:r>
        <w:rPr>
          <w:rFonts w:ascii="Times New Roman" w:hAnsi="Times New Roman"/>
          <w:color w:val="000000"/>
          <w:sz w:val="24"/>
        </w:rPr>
        <w:t>/</w:t>
      </w:r>
      <w:r>
        <w:rPr>
          <w:rFonts w:ascii="Times New Roman" w:hAnsi="Times New Roman"/>
          <w:color w:val="000000"/>
          <w:sz w:val="24"/>
        </w:rPr>
        <w:t xml:space="preserve"> 199, 9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л.с</w:t>
      </w:r>
      <w:r>
        <w:rPr>
          <w:rFonts w:ascii="Times New Roman" w:hAnsi="Times New Roman"/>
          <w:color w:val="000000"/>
          <w:sz w:val="24"/>
        </w:rPr>
        <w:t xml:space="preserve">, СТС </w:t>
      </w:r>
      <w:r>
        <w:rPr>
          <w:rFonts w:ascii="Times New Roman" w:hAnsi="Times New Roman"/>
          <w:sz w:val="24"/>
        </w:rPr>
        <w:t xml:space="preserve">9935759843.  </w:t>
      </w:r>
      <w:r>
        <w:rPr>
          <w:rFonts w:ascii="Times New Roman" w:hAnsi="Times New Roman"/>
          <w:color w:val="000000"/>
          <w:sz w:val="24"/>
        </w:rPr>
        <w:t xml:space="preserve">Состояние транспортного средства: </w:t>
      </w:r>
      <w:r>
        <w:rPr>
          <w:rFonts w:ascii="Times New Roman" w:hAnsi="Times New Roman"/>
          <w:sz w:val="24"/>
        </w:rPr>
        <w:t xml:space="preserve">в рабочем состоянии. </w:t>
      </w:r>
      <w:r>
        <w:rPr>
          <w:rFonts w:ascii="Times New Roman" w:hAnsi="Times New Roman"/>
          <w:color w:val="000000"/>
          <w:sz w:val="24"/>
        </w:rPr>
        <w:t>Обременения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- арест, запрет на регистрационные действия.</w:t>
      </w:r>
      <w:r>
        <w:rPr>
          <w:rFonts w:ascii="Times New Roman" w:hAnsi="Times New Roman"/>
          <w:sz w:val="24"/>
        </w:rPr>
        <w:t xml:space="preserve"> Собственник</w:t>
      </w:r>
      <w:r>
        <w:rPr>
          <w:rFonts w:ascii="Times New Roman" w:hAnsi="Times New Roman"/>
          <w:sz w:val="24"/>
        </w:rPr>
        <w:t xml:space="preserve"> –</w:t>
      </w:r>
      <w:r>
        <w:rPr>
          <w:rFonts w:ascii="Times New Roman" w:hAnsi="Times New Roman"/>
          <w:sz w:val="24"/>
        </w:rPr>
        <w:t xml:space="preserve"> АО «МСА - ИНЖИНИРИНГ»</w:t>
      </w:r>
      <w:r>
        <w:rPr>
          <w:rFonts w:ascii="Times New Roman" w:hAnsi="Times New Roman"/>
          <w:sz w:val="24"/>
        </w:rPr>
        <w:t>. Начальная цена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  2445600</w:t>
      </w:r>
      <w:r>
        <w:rPr>
          <w:rFonts w:ascii="Times New Roman" w:hAnsi="Times New Roman"/>
          <w:sz w:val="24"/>
        </w:rPr>
        <w:t xml:space="preserve"> (два миллиона четыреста сорок пять тысяча шестьсот) руб.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без учета НДС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. Сумма задатка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- 244560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(10</w:t>
      </w:r>
      <w:r>
        <w:rPr>
          <w:rFonts w:ascii="Times New Roman" w:hAnsi="Times New Roman"/>
          <w:sz w:val="24"/>
        </w:rPr>
        <w:t xml:space="preserve">% от начальной цены) </w:t>
      </w:r>
      <w:r>
        <w:rPr>
          <w:rFonts w:ascii="Times New Roman" w:hAnsi="Times New Roman"/>
          <w:sz w:val="24"/>
        </w:rPr>
        <w:t>руб. Шаг аукциона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- 2446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(1</w:t>
      </w:r>
      <w:r>
        <w:rPr>
          <w:rFonts w:ascii="Times New Roman" w:hAnsi="Times New Roman"/>
          <w:sz w:val="24"/>
        </w:rPr>
        <w:t xml:space="preserve">% от начальной цены) </w:t>
      </w:r>
      <w:r>
        <w:rPr>
          <w:rFonts w:ascii="Times New Roman" w:hAnsi="Times New Roman"/>
          <w:sz w:val="24"/>
        </w:rPr>
        <w:t>руб.</w:t>
      </w:r>
    </w:p>
    <w:p w14:paraId="13000000">
      <w:pPr>
        <w:ind w:firstLine="708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Основание для продажи – </w:t>
      </w:r>
      <w:r>
        <w:rPr>
          <w:rFonts w:ascii="Times New Roman" w:hAnsi="Times New Roman"/>
        </w:rPr>
        <w:t>постановление СПИ СОСП по г. Москве №2 ГМ</w:t>
      </w:r>
      <w:r>
        <w:rPr>
          <w:rFonts w:ascii="Times New Roman" w:hAnsi="Times New Roman"/>
        </w:rPr>
        <w:t>У ФССП России Джаджиева Н.Х.</w:t>
      </w:r>
      <w:r>
        <w:rPr>
          <w:rFonts w:ascii="Times New Roman" w:hAnsi="Times New Roman"/>
        </w:rPr>
        <w:t xml:space="preserve"> от 05</w:t>
      </w:r>
      <w:r>
        <w:rPr>
          <w:rFonts w:ascii="Times New Roman" w:hAnsi="Times New Roman"/>
        </w:rPr>
        <w:t>.12</w:t>
      </w:r>
      <w:r>
        <w:rPr>
          <w:rFonts w:ascii="Times New Roman" w:hAnsi="Times New Roman"/>
        </w:rPr>
        <w:t>.2025 г. № 98097/25/2331583</w:t>
      </w:r>
      <w:r>
        <w:rPr>
          <w:rFonts w:ascii="Times New Roman" w:hAnsi="Times New Roman"/>
        </w:rPr>
        <w:t>.</w:t>
      </w:r>
    </w:p>
    <w:p w14:paraId="14000000">
      <w:pPr>
        <w:ind w:firstLine="708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Осмотр имущества по предварительной договоренности с СОСП по Республике Ингушетия ГМУ ФССП России</w:t>
      </w:r>
      <w:r>
        <w:rPr>
          <w:rFonts w:ascii="Times New Roman" w:hAnsi="Times New Roman"/>
        </w:rPr>
        <w:t xml:space="preserve"> по адресу: РИ, г. Магас, ул. К.Кулиева, д.8 и (или) по тел. 8(8734) 55-19-8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. </w:t>
      </w:r>
    </w:p>
    <w:p w14:paraId="15000000">
      <w:pPr>
        <w:spacing w:after="0" w:line="240" w:lineRule="auto"/>
        <w:ind/>
        <w:jc w:val="both"/>
        <w:rPr>
          <w:rFonts w:ascii="Calibri" w:hAnsi="Calibri"/>
          <w:sz w:val="24"/>
        </w:rPr>
      </w:pPr>
      <w:r>
        <w:rPr>
          <w:rFonts w:ascii="Times New Roman" w:hAnsi="Times New Roman"/>
          <w:b w:val="1"/>
          <w:sz w:val="24"/>
        </w:rPr>
        <w:t>Лот № 2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Легковой автомобиль PEUGEOT PARTNER</w:t>
      </w:r>
      <w:r>
        <w:rPr>
          <w:rFonts w:ascii="Times New Roman" w:hAnsi="Times New Roman"/>
          <w:sz w:val="24"/>
        </w:rPr>
        <w:t>, 2007 г</w:t>
      </w:r>
      <w:r>
        <w:rPr>
          <w:rFonts w:ascii="Times New Roman" w:hAnsi="Times New Roman"/>
          <w:sz w:val="24"/>
        </w:rPr>
        <w:t xml:space="preserve">ода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ыпуска</w:t>
      </w:r>
      <w:r>
        <w:rPr>
          <w:rFonts w:ascii="Times New Roman" w:hAnsi="Times New Roman"/>
          <w:sz w:val="24"/>
        </w:rPr>
        <w:t>, цвет</w:t>
      </w:r>
      <w:r>
        <w:rPr>
          <w:rFonts w:ascii="Times New Roman" w:hAnsi="Times New Roman"/>
          <w:sz w:val="24"/>
        </w:rPr>
        <w:t xml:space="preserve"> –</w:t>
      </w:r>
      <w:r>
        <w:rPr>
          <w:rFonts w:ascii="Times New Roman" w:hAnsi="Times New Roman"/>
          <w:sz w:val="24"/>
        </w:rPr>
        <w:t xml:space="preserve"> белый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идентификационный номер (</w:t>
      </w:r>
      <w:r>
        <w:rPr>
          <w:rFonts w:ascii="Times New Roman" w:hAnsi="Times New Roman"/>
          <w:sz w:val="24"/>
        </w:rPr>
        <w:t>VIN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VF3GJKFWC95285879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</w:t>
      </w:r>
      <w:r>
        <w:rPr>
          <w:rFonts w:ascii="Times New Roman" w:hAnsi="Times New Roman"/>
          <w:sz w:val="24"/>
        </w:rPr>
        <w:t xml:space="preserve">осударственный 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омер</w:t>
      </w:r>
      <w:r>
        <w:rPr>
          <w:rFonts w:ascii="Times New Roman" w:hAnsi="Times New Roman"/>
          <w:sz w:val="24"/>
        </w:rPr>
        <w:t xml:space="preserve"> О870КС06</w:t>
      </w:r>
      <w:r>
        <w:rPr>
          <w:rFonts w:ascii="Times New Roman" w:hAnsi="Times New Roman"/>
          <w:sz w:val="24"/>
        </w:rPr>
        <w:t>, номер двигателя 5711388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объем двигателя</w:t>
      </w:r>
      <w:r>
        <w:rPr>
          <w:rFonts w:ascii="Times New Roman" w:hAnsi="Times New Roman"/>
          <w:color w:val="000000"/>
          <w:sz w:val="24"/>
        </w:rPr>
        <w:t xml:space="preserve"> -</w:t>
      </w:r>
      <w:r>
        <w:rPr>
          <w:rFonts w:ascii="Times New Roman" w:hAnsi="Times New Roman"/>
          <w:color w:val="000000"/>
          <w:sz w:val="24"/>
        </w:rPr>
        <w:t xml:space="preserve"> 1360</w:t>
      </w:r>
      <w:r>
        <w:rPr>
          <w:rFonts w:ascii="Times New Roman" w:hAnsi="Times New Roman"/>
          <w:color w:val="000000"/>
          <w:sz w:val="24"/>
        </w:rPr>
        <w:t xml:space="preserve"> куб.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см, мощность двигателя</w:t>
      </w:r>
      <w:r>
        <w:rPr>
          <w:rFonts w:ascii="Times New Roman" w:hAnsi="Times New Roman"/>
          <w:color w:val="000000"/>
          <w:sz w:val="24"/>
        </w:rPr>
        <w:t xml:space="preserve"> –</w:t>
      </w:r>
      <w:r>
        <w:rPr>
          <w:rFonts w:ascii="Times New Roman" w:hAnsi="Times New Roman"/>
          <w:color w:val="000000"/>
          <w:sz w:val="24"/>
        </w:rPr>
        <w:t xml:space="preserve"> 55 </w:t>
      </w:r>
      <w:r>
        <w:rPr>
          <w:rFonts w:ascii="Times New Roman" w:hAnsi="Times New Roman"/>
          <w:color w:val="000000"/>
          <w:sz w:val="24"/>
        </w:rPr>
        <w:t xml:space="preserve">кВт </w:t>
      </w:r>
      <w:r>
        <w:rPr>
          <w:rFonts w:ascii="Times New Roman" w:hAnsi="Times New Roman"/>
          <w:color w:val="000000"/>
          <w:sz w:val="24"/>
        </w:rPr>
        <w:t>/</w:t>
      </w:r>
      <w:r>
        <w:rPr>
          <w:rFonts w:ascii="Times New Roman" w:hAnsi="Times New Roman"/>
          <w:color w:val="000000"/>
          <w:sz w:val="24"/>
        </w:rPr>
        <w:t xml:space="preserve"> 75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л.с</w:t>
      </w:r>
      <w:r>
        <w:rPr>
          <w:rFonts w:ascii="Times New Roman" w:hAnsi="Times New Roman"/>
          <w:color w:val="000000"/>
          <w:sz w:val="24"/>
        </w:rPr>
        <w:t xml:space="preserve">, СТС </w:t>
      </w:r>
      <w:r>
        <w:rPr>
          <w:rFonts w:ascii="Times New Roman" w:hAnsi="Times New Roman"/>
          <w:sz w:val="24"/>
        </w:rPr>
        <w:t xml:space="preserve">9947961332.  </w:t>
      </w:r>
      <w:r>
        <w:rPr>
          <w:rFonts w:ascii="Times New Roman" w:hAnsi="Times New Roman"/>
          <w:color w:val="000000"/>
          <w:sz w:val="24"/>
        </w:rPr>
        <w:t xml:space="preserve">Состояние транспортного средства: </w:t>
      </w:r>
      <w:r>
        <w:rPr>
          <w:rFonts w:ascii="Times New Roman" w:hAnsi="Times New Roman"/>
          <w:sz w:val="24"/>
        </w:rPr>
        <w:t xml:space="preserve">в рабочем состоянии. </w:t>
      </w:r>
      <w:r>
        <w:rPr>
          <w:rFonts w:ascii="Times New Roman" w:hAnsi="Times New Roman"/>
          <w:color w:val="000000"/>
          <w:sz w:val="24"/>
        </w:rPr>
        <w:t>Обременения</w:t>
      </w:r>
      <w:r>
        <w:rPr>
          <w:rFonts w:ascii="Times New Roman" w:hAnsi="Times New Roman"/>
          <w:color w:val="000000"/>
          <w:sz w:val="24"/>
        </w:rPr>
        <w:t xml:space="preserve"> –</w:t>
      </w:r>
      <w:r>
        <w:rPr>
          <w:rFonts w:ascii="Times New Roman" w:hAnsi="Times New Roman"/>
          <w:color w:val="000000"/>
          <w:sz w:val="24"/>
        </w:rPr>
        <w:t xml:space="preserve"> залог, арест.</w:t>
      </w:r>
      <w:r>
        <w:rPr>
          <w:rFonts w:ascii="Times New Roman" w:hAnsi="Times New Roman"/>
          <w:sz w:val="24"/>
        </w:rPr>
        <w:t xml:space="preserve"> Собственник</w:t>
      </w:r>
      <w:r>
        <w:rPr>
          <w:rFonts w:ascii="Times New Roman" w:hAnsi="Times New Roman"/>
          <w:sz w:val="24"/>
        </w:rPr>
        <w:t xml:space="preserve"> –</w:t>
      </w:r>
      <w:r>
        <w:rPr>
          <w:rFonts w:ascii="Times New Roman" w:hAnsi="Times New Roman"/>
          <w:sz w:val="24"/>
        </w:rPr>
        <w:t xml:space="preserve"> Садакиев С.С.</w:t>
      </w:r>
      <w:r>
        <w:rPr>
          <w:rFonts w:ascii="Times New Roman" w:hAnsi="Times New Roman"/>
          <w:sz w:val="24"/>
        </w:rPr>
        <w:t xml:space="preserve"> Начальная цена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  264000</w:t>
      </w:r>
      <w:r>
        <w:rPr>
          <w:rFonts w:ascii="Times New Roman" w:hAnsi="Times New Roman"/>
          <w:sz w:val="24"/>
        </w:rPr>
        <w:t xml:space="preserve"> (двести шестьдесят четыре тысяча) руб.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без учета НДС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. Сумма задатка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- 26400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(10</w:t>
      </w:r>
      <w:r>
        <w:rPr>
          <w:rFonts w:ascii="Times New Roman" w:hAnsi="Times New Roman"/>
          <w:sz w:val="24"/>
        </w:rPr>
        <w:t xml:space="preserve">% от начальной цены) </w:t>
      </w:r>
      <w:r>
        <w:rPr>
          <w:rFonts w:ascii="Times New Roman" w:hAnsi="Times New Roman"/>
          <w:sz w:val="24"/>
        </w:rPr>
        <w:t>руб. Шаг аукциона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- 2640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(1</w:t>
      </w:r>
      <w:r>
        <w:rPr>
          <w:rFonts w:ascii="Times New Roman" w:hAnsi="Times New Roman"/>
          <w:sz w:val="24"/>
        </w:rPr>
        <w:t xml:space="preserve">% от начальной цены) </w:t>
      </w:r>
      <w:r>
        <w:rPr>
          <w:rFonts w:ascii="Times New Roman" w:hAnsi="Times New Roman"/>
          <w:sz w:val="24"/>
        </w:rPr>
        <w:t xml:space="preserve">руб. </w:t>
      </w:r>
    </w:p>
    <w:p w14:paraId="16000000">
      <w:pPr>
        <w:ind w:firstLine="708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Основание для продажи – </w:t>
      </w:r>
      <w:r>
        <w:rPr>
          <w:rFonts w:ascii="Times New Roman" w:hAnsi="Times New Roman"/>
        </w:rPr>
        <w:t>постановление СПИ ОСП по Малгобекскому району У</w:t>
      </w:r>
      <w:r>
        <w:rPr>
          <w:rFonts w:ascii="Times New Roman" w:hAnsi="Times New Roman"/>
        </w:rPr>
        <w:t>ФССП России по Республике Ингушетия Гандалоева Д.А.</w:t>
      </w:r>
      <w:r>
        <w:rPr>
          <w:rFonts w:ascii="Times New Roman" w:hAnsi="Times New Roman"/>
        </w:rPr>
        <w:t xml:space="preserve"> от 22</w:t>
      </w:r>
      <w:r>
        <w:rPr>
          <w:rFonts w:ascii="Times New Roman" w:hAnsi="Times New Roman"/>
        </w:rPr>
        <w:t>.12</w:t>
      </w:r>
      <w:r>
        <w:rPr>
          <w:rFonts w:ascii="Times New Roman" w:hAnsi="Times New Roman"/>
        </w:rPr>
        <w:t>.2025 г. № 98020/25/837117</w:t>
      </w:r>
      <w:r>
        <w:rPr>
          <w:rFonts w:ascii="Times New Roman" w:hAnsi="Times New Roman"/>
        </w:rPr>
        <w:t>.</w:t>
      </w:r>
    </w:p>
    <w:p w14:paraId="17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Осмотр имущества по предварительной договоренности с ОСП по Малгобекскому району УФССП России по Республике Ингушетия </w:t>
      </w:r>
      <w:r>
        <w:rPr>
          <w:rFonts w:ascii="Times New Roman" w:hAnsi="Times New Roman"/>
        </w:rPr>
        <w:t>по адресу: РИ, г. Малгобек, ул. Гоголя, д.21, корп. Б и (или) по тел. 8(8734) 55-19-75</w:t>
      </w:r>
      <w:r>
        <w:rPr>
          <w:rFonts w:ascii="Times New Roman" w:hAnsi="Times New Roman"/>
        </w:rPr>
        <w:t xml:space="preserve">. </w:t>
      </w:r>
    </w:p>
    <w:p w14:paraId="18000000">
      <w:pPr>
        <w:widowControl w:val="0"/>
        <w:ind w:firstLine="720" w:left="0"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II</w:t>
      </w:r>
      <w:r>
        <w:rPr>
          <w:rFonts w:ascii="Times New Roman" w:hAnsi="Times New Roman"/>
          <w:b w:val="1"/>
          <w:color w:val="000000"/>
        </w:rPr>
        <w:t>.Общие условия:</w:t>
      </w:r>
    </w:p>
    <w:p w14:paraId="19000000">
      <w:pPr>
        <w:widowControl w:val="0"/>
        <w:ind w:firstLine="720"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внести задаток на счет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указанный в настоящем информационном сообщении;</w:t>
      </w:r>
    </w:p>
    <w:p w14:paraId="1A000000">
      <w:pPr>
        <w:widowControl w:val="0"/>
        <w:ind w:firstLine="720"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</w:t>
      </w:r>
      <w:r>
        <w:rPr>
          <w:rFonts w:ascii="Times New Roman" w:hAnsi="Times New Roman"/>
          <w:color w:val="000000"/>
        </w:rPr>
        <w:t>в установленном порядке подать заявку (заявление) по форме, представленной в приложении к настоящему информационному сообщению с приложением пакета документов:</w:t>
      </w:r>
    </w:p>
    <w:p w14:paraId="1B000000">
      <w:pPr>
        <w:widowControl w:val="0"/>
        <w:tabs>
          <w:tab w:leader="none" w:pos="1134" w:val="left"/>
        </w:tabs>
        <w:spacing w:before="80" w:line="264" w:lineRule="auto"/>
        <w:ind w:firstLine="567" w:left="0"/>
        <w:jc w:val="both"/>
        <w:rPr>
          <w:rFonts w:ascii="Times New Roman" w:hAnsi="Times New Roman"/>
          <w:i w:val="1"/>
          <w:color w:val="FF0000"/>
          <w:u w:val="single"/>
        </w:rPr>
      </w:pPr>
      <w:r>
        <w:rPr>
          <w:rFonts w:ascii="Times New Roman" w:hAnsi="Times New Roman"/>
          <w:color w:val="000000"/>
          <w:u w:val="single"/>
        </w:rPr>
        <w:t xml:space="preserve">. </w:t>
      </w:r>
      <w:r>
        <w:rPr>
          <w:rFonts w:ascii="Times New Roman" w:hAnsi="Times New Roman"/>
          <w:i w:val="1"/>
          <w:color w:val="000000"/>
          <w:u w:val="single"/>
        </w:rPr>
        <w:t xml:space="preserve">Заявление на участие в аукционе должно содержать следующие сведения: </w:t>
      </w:r>
    </w:p>
    <w:p w14:paraId="1C000000">
      <w:pPr>
        <w:widowControl w:val="0"/>
        <w:numPr>
          <w:numId w:val="1"/>
        </w:numPr>
        <w:tabs>
          <w:tab w:leader="none" w:pos="1134" w:val="left"/>
        </w:tabs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для юридических лиц: фирменное наименование (наименование), сведения об организационно - правовой форме, о месте нахождения, почтовый адрес, банковские реквизиты; </w:t>
      </w:r>
    </w:p>
    <w:p w14:paraId="1D000000">
      <w:pPr>
        <w:widowControl w:val="0"/>
        <w:tabs>
          <w:tab w:leader="none" w:pos="1134" w:val="left"/>
        </w:tabs>
        <w:ind w:firstLine="567"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для индивидуальных предпринимателей: фамилия, имя, отчество (если имеется), паспортные данные, адрес места жительства, банковские реквизиты; </w:t>
      </w:r>
    </w:p>
    <w:p w14:paraId="1E000000">
      <w:pPr>
        <w:widowControl w:val="0"/>
        <w:tabs>
          <w:tab w:leader="none" w:pos="1134" w:val="left"/>
        </w:tabs>
        <w:ind w:firstLine="567"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для физических лиц: фамилия, имя, отчество (если имеется), паспортные данные, адрес места жительства, банковские реквизиты.</w:t>
      </w:r>
    </w:p>
    <w:p w14:paraId="1F000000">
      <w:pPr>
        <w:widowControl w:val="0"/>
        <w:tabs>
          <w:tab w:leader="none" w:pos="1134" w:val="left"/>
        </w:tabs>
        <w:ind w:firstLine="567" w:left="0"/>
        <w:jc w:val="both"/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i w:val="1"/>
          <w:color w:val="000000"/>
        </w:rPr>
        <w:t xml:space="preserve"> </w:t>
      </w:r>
      <w:r>
        <w:rPr>
          <w:rFonts w:ascii="Times New Roman" w:hAnsi="Times New Roman"/>
          <w:i w:val="1"/>
          <w:color w:val="000000"/>
          <w:u w:val="single"/>
        </w:rPr>
        <w:t>В состав заявки входят следующие документы:</w:t>
      </w:r>
    </w:p>
    <w:p w14:paraId="20000000">
      <w:pPr>
        <w:widowControl w:val="0"/>
        <w:tabs>
          <w:tab w:leader="none" w:pos="1134" w:val="left"/>
        </w:tabs>
        <w:ind w:firstLine="567"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для юридических лиц:  заявление на участие в торгах;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выписки; заверенные копии учредительных документов заявителя; письменное решение соответствующего органа управления заявителя, разрешающее приобретение имущества, если это необходимо в соответствии учредительными документами; документ, подтверждающий полномочия лица на осуществление действий от имени заявителя;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 банкротом и об открытии конкурсного производства, об отсутствии решения о приостановлении деятельности заявителя в порядке, предусмотренном законом; документ, подтверждающий статус юридического лица (для нерезидентов РФ); </w:t>
      </w:r>
      <w:r>
        <w:rPr>
          <w:rFonts w:ascii="Times New Roman" w:hAnsi="Times New Roman"/>
        </w:rPr>
        <w:t>декларация о соответствии требованиям п. 5 ст. 449.1 ГК РФ (в письменном виде, в свободной форме)</w:t>
      </w:r>
      <w:r>
        <w:rPr>
          <w:rFonts w:ascii="Times New Roman" w:hAnsi="Times New Roman"/>
          <w:color w:val="000000"/>
        </w:rPr>
        <w:t xml:space="preserve">; </w:t>
      </w:r>
    </w:p>
    <w:p w14:paraId="21000000">
      <w:pPr>
        <w:widowControl w:val="0"/>
        <w:tabs>
          <w:tab w:leader="none" w:pos="1134" w:val="left"/>
        </w:tabs>
        <w:ind w:firstLine="567"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для индивидуальных предпринимателей: заявление на участие в торгах;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предпринимателей; нотариально заверенная доверенность на лицо, уполномоченное действовать от имени заявителя; заявление, об отсутствии решения арбитражного суда о признании заявителя -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законом; </w:t>
      </w:r>
      <w:r>
        <w:rPr>
          <w:rFonts w:ascii="Times New Roman" w:hAnsi="Times New Roman"/>
        </w:rPr>
        <w:t>декларация о соответствии  требованиям п. 5 ст. 449.1</w:t>
      </w:r>
      <w:r>
        <w:rPr>
          <w:rFonts w:ascii="Times New Roman" w:hAnsi="Times New Roman"/>
        </w:rPr>
        <w:t xml:space="preserve"> ГК РФ</w:t>
      </w:r>
      <w:r>
        <w:rPr>
          <w:rFonts w:ascii="Times New Roman" w:hAnsi="Times New Roman"/>
          <w:color w:val="000000"/>
        </w:rPr>
        <w:t>;</w:t>
      </w:r>
    </w:p>
    <w:p w14:paraId="22000000">
      <w:pPr>
        <w:widowControl w:val="0"/>
        <w:tabs>
          <w:tab w:leader="none" w:pos="1134" w:val="left"/>
        </w:tabs>
        <w:ind w:firstLine="567"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для физических лиц: заявление на участие в торгах; копия паспорта заявителя (все листы); нотариально заверенная доверенность представителя физического лица; </w:t>
      </w:r>
      <w:r>
        <w:rPr>
          <w:rFonts w:ascii="Times New Roman" w:hAnsi="Times New Roman"/>
        </w:rPr>
        <w:t>декларация о соответствии требованиям п. 5 ст. 449.1 ГК РФ</w:t>
      </w:r>
      <w:r>
        <w:rPr>
          <w:rFonts w:ascii="Times New Roman" w:hAnsi="Times New Roman"/>
          <w:color w:val="000000"/>
        </w:rPr>
        <w:t>;</w:t>
      </w:r>
    </w:p>
    <w:p w14:paraId="23000000">
      <w:pPr>
        <w:widowControl w:val="0"/>
        <w:spacing w:before="80"/>
        <w:ind w:firstLine="540"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для иностранных граждан и иностранных юридических лиц: заявление на участие в торгах;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и документов, удостоверяющих личность физического лица; нотариально заверенная доверенность представителя физического лица; </w:t>
      </w:r>
      <w:r>
        <w:rPr>
          <w:rFonts w:ascii="Times New Roman" w:hAnsi="Times New Roman"/>
        </w:rPr>
        <w:t>декларация о соответствии  требованиям п. 5 ст. 449.1 ГК РФ</w:t>
      </w:r>
      <w:r>
        <w:rPr>
          <w:rFonts w:ascii="Times New Roman" w:hAnsi="Times New Roman"/>
          <w:color w:val="000000"/>
        </w:rPr>
        <w:t>. Согласно п. 5 ст. 449.1 ГК РФ -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14:paraId="24000000">
      <w:pPr>
        <w:widowControl w:val="0"/>
        <w:tabs>
          <w:tab w:leader="none" w:pos="1134" w:val="left"/>
        </w:tabs>
        <w:ind w:firstLine="567"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платежное поручение с отметкой банка</w:t>
      </w:r>
      <w:r>
        <w:rPr>
          <w:rFonts w:ascii="Times New Roman" w:hAnsi="Times New Roman"/>
          <w:b w:val="1"/>
          <w:color w:val="000000"/>
        </w:rPr>
        <w:t xml:space="preserve">. </w:t>
      </w:r>
      <w:r>
        <w:rPr>
          <w:rFonts w:ascii="Times New Roman" w:hAnsi="Times New Roman"/>
          <w:color w:val="000000"/>
        </w:rPr>
        <w:t>Опись представленных документов.</w:t>
      </w:r>
    </w:p>
    <w:p w14:paraId="25000000">
      <w:pPr>
        <w:widowControl w:val="0"/>
        <w:tabs>
          <w:tab w:leader="none" w:pos="1134" w:val="left"/>
        </w:tabs>
        <w:ind w:firstLine="567"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14:paraId="26000000">
      <w:pPr>
        <w:widowControl w:val="0"/>
        <w:tabs>
          <w:tab w:leader="none" w:pos="1134" w:val="left"/>
        </w:tabs>
        <w:ind w:firstLine="567"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Документы, содержащие помарки, подчистки, исправления и т. п., не рассматриваются.</w:t>
      </w:r>
    </w:p>
    <w:p w14:paraId="27000000">
      <w:pPr>
        <w:widowControl w:val="0"/>
        <w:tabs>
          <w:tab w:leader="none" w:pos="1134" w:val="left"/>
        </w:tabs>
        <w:ind w:firstLine="567"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Одно лицо имеет право подать только одну заявку в отношении одного лота в рамках одной процедуры торгов.</w:t>
      </w:r>
    </w:p>
    <w:p w14:paraId="28000000">
      <w:pPr>
        <w:widowControl w:val="0"/>
        <w:tabs>
          <w:tab w:leader="none" w:pos="1134" w:val="left"/>
        </w:tabs>
        <w:ind w:firstLine="567"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Претендент не допускается к участию в аукционе в случаях:</w:t>
      </w:r>
    </w:p>
    <w:p w14:paraId="29000000">
      <w:pPr>
        <w:widowControl w:val="0"/>
        <w:tabs>
          <w:tab w:leader="none" w:pos="1134" w:val="left"/>
        </w:tabs>
        <w:ind w:firstLine="567"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подачи документов с нарушением срока, установленного настоящим извещением;</w:t>
      </w:r>
    </w:p>
    <w:p w14:paraId="2A000000">
      <w:pPr>
        <w:widowControl w:val="0"/>
        <w:tabs>
          <w:tab w:leader="none" w:pos="1134" w:val="left"/>
        </w:tabs>
        <w:ind w:firstLine="567"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несоответствия представленных документов требованиям, установленным законодательством Российской Федерации и настоящим извещением;</w:t>
      </w:r>
    </w:p>
    <w:p w14:paraId="2B000000">
      <w:pPr>
        <w:widowControl w:val="0"/>
        <w:tabs>
          <w:tab w:leader="none" w:pos="1134" w:val="left"/>
        </w:tabs>
        <w:ind w:firstLine="567"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2C000000">
      <w:pPr>
        <w:widowControl w:val="0"/>
        <w:tabs>
          <w:tab w:leader="none" w:pos="1134" w:val="left"/>
        </w:tabs>
        <w:ind w:firstLine="567"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подачи заявки на участие в торгах лицом, не уполномоченным претендентом на осуществление таких действий;</w:t>
      </w:r>
    </w:p>
    <w:p w14:paraId="2D000000">
      <w:pPr>
        <w:widowControl w:val="0"/>
        <w:tabs>
          <w:tab w:leader="none" w:pos="1134" w:val="left"/>
        </w:tabs>
        <w:ind w:firstLine="567"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не подтверждения поступления в установленный срок задатка на счет, указанный в настоящем извещении;</w:t>
      </w:r>
    </w:p>
    <w:p w14:paraId="2E000000">
      <w:pPr>
        <w:widowControl w:val="0"/>
        <w:tabs>
          <w:tab w:leader="none" w:pos="1134" w:val="left"/>
        </w:tabs>
        <w:ind w:firstLine="567"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подачи заявки на участие в торгах не по установленной Организатором торгов форме;</w:t>
      </w:r>
    </w:p>
    <w:p w14:paraId="2F000000">
      <w:pPr>
        <w:widowControl w:val="0"/>
        <w:tabs>
          <w:tab w:leader="none" w:pos="1134" w:val="left"/>
        </w:tabs>
        <w:ind w:firstLine="567"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непредставления документов, определенных настоящим извещением; </w:t>
      </w:r>
    </w:p>
    <w:p w14:paraId="30000000">
      <w:pPr>
        <w:widowControl w:val="0"/>
        <w:tabs>
          <w:tab w:leader="none" w:pos="1134" w:val="left"/>
        </w:tabs>
        <w:ind w:firstLine="567"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указания в заявке на участие в торгах недостоверных сведений.</w:t>
      </w:r>
    </w:p>
    <w:p w14:paraId="31000000">
      <w:pPr>
        <w:widowControl w:val="0"/>
        <w:tabs>
          <w:tab w:leader="none" w:pos="1134" w:val="left"/>
        </w:tabs>
        <w:ind w:firstLine="567" w:left="0"/>
        <w:jc w:val="both"/>
        <w:rPr>
          <w:rFonts w:ascii="Times New Roman" w:hAnsi="Times New Roman"/>
          <w:color w:val="000000"/>
        </w:rPr>
      </w:pPr>
    </w:p>
    <w:p w14:paraId="32000000">
      <w:pPr>
        <w:widowControl w:val="0"/>
        <w:ind w:firstLine="720" w:left="0"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III</w:t>
      </w:r>
      <w:r>
        <w:rPr>
          <w:rFonts w:ascii="Times New Roman" w:hAnsi="Times New Roman"/>
          <w:b w:val="1"/>
          <w:color w:val="000000"/>
        </w:rPr>
        <w:t>.</w:t>
      </w:r>
      <w:r>
        <w:rPr>
          <w:rFonts w:ascii="Times New Roman" w:hAnsi="Times New Roman"/>
          <w:b w:val="1"/>
          <w:color w:val="000000"/>
        </w:rPr>
        <w:t>Порядок внесения задатка:</w:t>
      </w:r>
    </w:p>
    <w:p w14:paraId="33000000">
      <w:pPr>
        <w:widowControl w:val="0"/>
        <w:tabs>
          <w:tab w:leader="none" w:pos="567" w:val="left"/>
          <w:tab w:leader="none" w:pos="993" w:val="left"/>
        </w:tabs>
        <w:ind w:firstLine="567" w:left="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Заявители обязаны внести задаток в необходимом размере до окончания приема заявок.</w:t>
      </w:r>
    </w:p>
    <w:p w14:paraId="34000000">
      <w:pPr>
        <w:widowControl w:val="0"/>
        <w:tabs>
          <w:tab w:leader="none" w:pos="567" w:val="left"/>
          <w:tab w:leader="none" w:pos="993" w:val="left"/>
        </w:tabs>
        <w:ind w:firstLine="567" w:left="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Задаток должен быть внесен в размере, указанном в извещении по реквизитам универсальной торговой платформы ЗАО «Сбербанк-АСТ»:</w:t>
      </w:r>
    </w:p>
    <w:p w14:paraId="35000000">
      <w:pPr>
        <w:widowControl w:val="0"/>
        <w:tabs>
          <w:tab w:leader="none" w:pos="567" w:val="left"/>
          <w:tab w:leader="none" w:pos="993" w:val="left"/>
        </w:tabs>
        <w:ind w:firstLine="567" w:left="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ПОЛУЧАТЕЛЬ:</w:t>
      </w:r>
    </w:p>
    <w:p w14:paraId="36000000">
      <w:pPr>
        <w:widowControl w:val="0"/>
        <w:tabs>
          <w:tab w:leader="none" w:pos="567" w:val="left"/>
          <w:tab w:leader="none" w:pos="993" w:val="left"/>
        </w:tabs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ab/>
      </w:r>
      <w:r>
        <w:rPr>
          <w:rFonts w:ascii="XO Thames" w:hAnsi="XO Thames"/>
          <w:color w:val="000000"/>
        </w:rPr>
        <w:t>Наименование: ЗАО "Сбербанк-АСТ"</w:t>
      </w:r>
    </w:p>
    <w:p w14:paraId="37000000">
      <w:pPr>
        <w:widowControl w:val="0"/>
        <w:tabs>
          <w:tab w:leader="none" w:pos="567" w:val="left"/>
          <w:tab w:leader="none" w:pos="993" w:val="left"/>
        </w:tabs>
        <w:ind w:firstLine="567" w:left="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ИНН: 7707308480</w:t>
      </w:r>
    </w:p>
    <w:p w14:paraId="38000000">
      <w:pPr>
        <w:widowControl w:val="0"/>
        <w:tabs>
          <w:tab w:leader="none" w:pos="567" w:val="left"/>
          <w:tab w:leader="none" w:pos="993" w:val="left"/>
        </w:tabs>
        <w:ind w:firstLine="567" w:left="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КПП: 770701001</w:t>
      </w:r>
    </w:p>
    <w:p w14:paraId="39000000">
      <w:pPr>
        <w:widowControl w:val="0"/>
        <w:tabs>
          <w:tab w:leader="none" w:pos="567" w:val="left"/>
          <w:tab w:leader="none" w:pos="993" w:val="left"/>
        </w:tabs>
        <w:ind w:firstLine="567" w:left="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Расчетный счет: 40702810300020038047</w:t>
      </w:r>
    </w:p>
    <w:p w14:paraId="3A000000">
      <w:pPr>
        <w:widowControl w:val="0"/>
        <w:tabs>
          <w:tab w:leader="none" w:pos="567" w:val="left"/>
          <w:tab w:leader="none" w:pos="993" w:val="left"/>
        </w:tabs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ab/>
      </w:r>
      <w:r>
        <w:rPr>
          <w:rFonts w:ascii="XO Thames" w:hAnsi="XO Thames"/>
          <w:color w:val="000000"/>
        </w:rPr>
        <w:t xml:space="preserve">БАНК ПОЛУЧАТЕЛЯ: </w:t>
      </w:r>
    </w:p>
    <w:p w14:paraId="3B000000">
      <w:pPr>
        <w:widowControl w:val="0"/>
        <w:tabs>
          <w:tab w:leader="none" w:pos="567" w:val="left"/>
          <w:tab w:leader="none" w:pos="993" w:val="left"/>
        </w:tabs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ab/>
      </w:r>
      <w:r>
        <w:rPr>
          <w:rFonts w:ascii="XO Thames" w:hAnsi="XO Thames"/>
          <w:color w:val="000000"/>
        </w:rPr>
        <w:t>Наименование банка: ПАО "СБЕРБАНК РОССИИ" Г. МОСКВА</w:t>
      </w:r>
    </w:p>
    <w:p w14:paraId="3C000000">
      <w:pPr>
        <w:widowControl w:val="0"/>
        <w:tabs>
          <w:tab w:leader="none" w:pos="567" w:val="left"/>
          <w:tab w:leader="none" w:pos="993" w:val="left"/>
        </w:tabs>
        <w:ind w:firstLine="567" w:left="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БИК: 044525225</w:t>
      </w:r>
    </w:p>
    <w:p w14:paraId="3D000000">
      <w:pPr>
        <w:widowControl w:val="0"/>
        <w:tabs>
          <w:tab w:leader="none" w:pos="567" w:val="left"/>
          <w:tab w:leader="none" w:pos="993" w:val="left"/>
        </w:tabs>
        <w:ind w:firstLine="567" w:left="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Корреспондентский счет: 30101810400000000225</w:t>
      </w:r>
    </w:p>
    <w:p w14:paraId="3E000000">
      <w:pPr>
        <w:widowControl w:val="0"/>
        <w:tabs>
          <w:tab w:leader="none" w:pos="567" w:val="left"/>
          <w:tab w:leader="none" w:pos="993" w:val="left"/>
        </w:tabs>
        <w:ind w:firstLine="567" w:left="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В назначение платежа </w:t>
      </w:r>
      <w:r>
        <w:rPr>
          <w:rFonts w:ascii="XO Thames" w:hAnsi="XO Thames"/>
          <w:b w:val="1"/>
          <w:color w:val="000000"/>
          <w:u w:val="single"/>
        </w:rPr>
        <w:t>обязательно прописать</w:t>
      </w:r>
      <w:r>
        <w:rPr>
          <w:rFonts w:ascii="XO Thames" w:hAnsi="XO Thames"/>
          <w:color w:val="000000"/>
        </w:rPr>
        <w:t>: «Перечисление денежных средств в качестве задатка (ИНН плательщика),</w:t>
      </w:r>
      <w:r>
        <w:rPr>
          <w:rFonts w:ascii="XO Thames" w:hAnsi="XO Thames"/>
          <w:color w:val="000000"/>
        </w:rPr>
        <w:t xml:space="preserve"> лот №___, извещение №_____________</w:t>
      </w:r>
      <w:r>
        <w:rPr>
          <w:rFonts w:ascii="XO Thames" w:hAnsi="XO Thames"/>
          <w:color w:val="000000"/>
        </w:rPr>
        <w:t>»</w:t>
      </w:r>
    </w:p>
    <w:p w14:paraId="3F000000">
      <w:pPr>
        <w:widowControl w:val="0"/>
        <w:tabs>
          <w:tab w:leader="none" w:pos="567" w:val="left"/>
          <w:tab w:leader="none" w:pos="993" w:val="left"/>
        </w:tabs>
        <w:ind w:firstLine="567" w:left="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Указанное извещение является публичной офертой для заключения договора о задатке в соответствии со ст. 437 Гражданского кодекса РФ.</w:t>
      </w:r>
    </w:p>
    <w:p w14:paraId="40000000">
      <w:pPr>
        <w:widowControl w:val="0"/>
        <w:tabs>
          <w:tab w:leader="none" w:pos="567" w:val="left"/>
          <w:tab w:leader="none" w:pos="993" w:val="left"/>
        </w:tabs>
        <w:ind w:firstLine="567" w:left="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Денежные средства, перечисленные за участие в аукционе </w:t>
      </w:r>
      <w:r>
        <w:rPr>
          <w:rFonts w:ascii="XO Thames" w:hAnsi="XO Thames"/>
          <w:color w:val="000000"/>
        </w:rPr>
        <w:t>третьим лицом,</w:t>
      </w:r>
      <w:r>
        <w:rPr>
          <w:rFonts w:ascii="XO Thames" w:hAnsi="XO Thames"/>
          <w:color w:val="000000"/>
        </w:rPr>
        <w:t xml:space="preserve"> не зачисляются.</w:t>
      </w:r>
    </w:p>
    <w:p w14:paraId="41000000">
      <w:pPr>
        <w:widowControl w:val="0"/>
        <w:tabs>
          <w:tab w:leader="none" w:pos="567" w:val="left"/>
          <w:tab w:leader="none" w:pos="993" w:val="left"/>
        </w:tabs>
        <w:ind w:firstLine="567" w:left="0"/>
        <w:jc w:val="both"/>
        <w:rPr>
          <w:rFonts w:ascii="Times New Roman CYR" w:hAnsi="Times New Roman CYR"/>
          <w:color w:val="000000"/>
        </w:rPr>
      </w:pPr>
    </w:p>
    <w:p w14:paraId="42000000">
      <w:pPr>
        <w:widowControl w:val="0"/>
        <w:ind w:firstLine="720" w:left="0"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VI</w:t>
      </w:r>
      <w:r>
        <w:rPr>
          <w:rFonts w:ascii="Times New Roman" w:hAnsi="Times New Roman"/>
          <w:b w:val="1"/>
          <w:color w:val="000000"/>
        </w:rPr>
        <w:t>. Порядок возврата и удержания задатка:</w:t>
      </w:r>
    </w:p>
    <w:p w14:paraId="43000000">
      <w:pPr>
        <w:widowControl w:val="0"/>
        <w:tabs>
          <w:tab w:leader="none" w:pos="567" w:val="left"/>
        </w:tabs>
        <w:ind w:firstLine="567" w:left="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Денежные средства, внесенные в качестве задатка на участие в аукционе </w:t>
      </w:r>
      <w:r>
        <w:rPr>
          <w:rFonts w:ascii="XO Thames" w:hAnsi="XO Thames"/>
          <w:color w:val="000000"/>
        </w:rPr>
        <w:t>победителем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торгов,</w:t>
      </w:r>
      <w:r>
        <w:rPr>
          <w:rFonts w:ascii="XO Thames" w:hAnsi="XO Thames"/>
          <w:color w:val="000000"/>
        </w:rPr>
        <w:t xml:space="preserve"> зачитываются в качестве оплаты покупной цены имущества. При неперечислении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возвращается.</w:t>
      </w:r>
    </w:p>
    <w:p w14:paraId="44000000">
      <w:pPr>
        <w:widowControl w:val="0"/>
        <w:tabs>
          <w:tab w:leader="none" w:pos="567" w:val="left"/>
        </w:tabs>
        <w:ind w:firstLine="567" w:left="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Возврат задатка осуществляется универсальной торговой платформой ЗАО «Сбербанк-АСТ» в соответствии с регламентами универсальной торговой платформы ЗАО «Сбербанк-АСТ» и торговой секции «Приватизация, аренда и продажа прав», размещенными на сайте </w:t>
      </w:r>
      <w:r>
        <w:rPr>
          <w:rFonts w:ascii="XO Thames" w:hAnsi="XO Thames"/>
          <w:color w:val="0000FF"/>
          <w:u w:val="single"/>
        </w:rPr>
        <w:fldChar w:fldCharType="begin"/>
      </w:r>
      <w:r>
        <w:rPr>
          <w:rFonts w:ascii="XO Thames" w:hAnsi="XO Thames"/>
          <w:color w:val="0000FF"/>
          <w:u w:val="single"/>
        </w:rPr>
        <w:instrText>HYPERLINK "http://utp.sberbank-ast.ru/"</w:instrText>
      </w:r>
      <w:r>
        <w:rPr>
          <w:rFonts w:ascii="XO Thames" w:hAnsi="XO Thames"/>
          <w:color w:val="0000FF"/>
          <w:u w:val="single"/>
        </w:rPr>
        <w:fldChar w:fldCharType="separate"/>
      </w:r>
      <w:r>
        <w:rPr>
          <w:rFonts w:ascii="XO Thames" w:hAnsi="XO Thames"/>
          <w:color w:val="0000FF"/>
          <w:u w:val="single"/>
        </w:rPr>
        <w:t>http://utp.sberbank-ast.ru/</w:t>
      </w:r>
      <w:r>
        <w:rPr>
          <w:rFonts w:ascii="XO Thames" w:hAnsi="XO Thames"/>
          <w:color w:val="0000FF"/>
          <w:u w:val="single"/>
        </w:rPr>
        <w:fldChar w:fldCharType="end"/>
      </w:r>
      <w:r>
        <w:rPr>
          <w:rFonts w:ascii="XO Thames" w:hAnsi="XO Thames"/>
          <w:color w:val="000000"/>
        </w:rPr>
        <w:t xml:space="preserve"> в разделе «Универсальная торговая площадка» и в подразделе «Информация по ТС» раздела «Продажи» - «Приватизация, аренда и продажа прав» соответственно, и  иными нормативными документами универсальной торговой платформы.</w:t>
      </w:r>
    </w:p>
    <w:p w14:paraId="45000000">
      <w:pPr>
        <w:widowControl w:val="0"/>
        <w:ind w:firstLine="720" w:left="0"/>
        <w:jc w:val="both"/>
        <w:rPr>
          <w:rFonts w:ascii="Times New Roman" w:hAnsi="Times New Roman"/>
          <w:b w:val="1"/>
          <w:color w:val="000000"/>
        </w:rPr>
      </w:pPr>
    </w:p>
    <w:p w14:paraId="46000000">
      <w:pPr>
        <w:widowControl w:val="0"/>
        <w:ind w:firstLine="720" w:left="0"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V</w:t>
      </w:r>
      <w:r>
        <w:rPr>
          <w:rFonts w:ascii="Times New Roman" w:hAnsi="Times New Roman"/>
          <w:b w:val="1"/>
          <w:color w:val="000000"/>
        </w:rPr>
        <w:t xml:space="preserve">. </w:t>
      </w:r>
      <w:r>
        <w:rPr>
          <w:rFonts w:ascii="Times New Roman" w:hAnsi="Times New Roman"/>
          <w:b w:val="1"/>
          <w:color w:val="000000"/>
        </w:rPr>
        <w:t>Прочие условия</w:t>
      </w:r>
      <w:r>
        <w:rPr>
          <w:rFonts w:ascii="Times New Roman" w:hAnsi="Times New Roman"/>
          <w:b w:val="1"/>
          <w:color w:val="000000"/>
        </w:rPr>
        <w:t>:</w:t>
      </w:r>
    </w:p>
    <w:p w14:paraId="47000000">
      <w:pPr>
        <w:tabs>
          <w:tab w:leader="none" w:pos="6660" w:val="left"/>
        </w:tabs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Информация о торгах размещена на официальном сайте Российской Федерации www.torgi.gov.ru в сети Интернет, на сайте </w:t>
      </w:r>
      <w:r>
        <w:rPr>
          <w:rStyle w:val="Style_2_ch"/>
          <w:rFonts w:ascii="Times New Roman" w:hAnsi="Times New Roman"/>
        </w:rPr>
        <w:fldChar w:fldCharType="begin"/>
      </w:r>
      <w:r>
        <w:rPr>
          <w:rStyle w:val="Style_2_ch"/>
          <w:rFonts w:ascii="Times New Roman" w:hAnsi="Times New Roman"/>
        </w:rPr>
        <w:instrText>HYPERLINK "http://www.rosim.ru"</w:instrText>
      </w:r>
      <w:r>
        <w:rPr>
          <w:rStyle w:val="Style_2_ch"/>
          <w:rFonts w:ascii="Times New Roman" w:hAnsi="Times New Roman"/>
        </w:rPr>
        <w:fldChar w:fldCharType="separate"/>
      </w:r>
      <w:r>
        <w:rPr>
          <w:rStyle w:val="Style_2_ch"/>
          <w:rFonts w:ascii="Times New Roman" w:hAnsi="Times New Roman"/>
        </w:rPr>
        <w:t>www.rosim.ru</w:t>
      </w:r>
      <w:r>
        <w:rPr>
          <w:rStyle w:val="Style_2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. </w:t>
      </w:r>
    </w:p>
    <w:p w14:paraId="48000000">
      <w:pPr>
        <w:widowControl w:val="0"/>
        <w:tabs>
          <w:tab w:leader="none" w:pos="4677" w:val="center"/>
          <w:tab w:leader="none" w:pos="9355" w:val="right"/>
        </w:tabs>
        <w:spacing w:before="80" w:line="264" w:lineRule="auto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Ознакомиться с проектом договора купли - продажи заинтересованные лица могут на сайте </w:t>
      </w:r>
      <w:r>
        <w:rPr>
          <w:rFonts w:ascii="XO Thames" w:hAnsi="XO Thames"/>
          <w:color w:val="0000FF"/>
          <w:u w:val="single"/>
        </w:rPr>
        <w:fldChar w:fldCharType="begin"/>
      </w:r>
      <w:r>
        <w:rPr>
          <w:rFonts w:ascii="XO Thames" w:hAnsi="XO Thames"/>
          <w:color w:val="0000FF"/>
          <w:u w:val="single"/>
        </w:rPr>
        <w:instrText>HYPERLINK "http://utp.sberbank-ast.ru/"</w:instrText>
      </w:r>
      <w:r>
        <w:rPr>
          <w:rFonts w:ascii="XO Thames" w:hAnsi="XO Thames"/>
          <w:color w:val="0000FF"/>
          <w:u w:val="single"/>
        </w:rPr>
        <w:fldChar w:fldCharType="separate"/>
      </w:r>
      <w:r>
        <w:rPr>
          <w:rFonts w:ascii="XO Thames" w:hAnsi="XO Thames"/>
          <w:color w:val="0000FF"/>
          <w:u w:val="single"/>
        </w:rPr>
        <w:t>http://utp.sberbank-ast.ru/</w:t>
      </w:r>
      <w:r>
        <w:rPr>
          <w:rFonts w:ascii="XO Thames" w:hAnsi="XO Thames"/>
          <w:color w:val="0000FF"/>
          <w:u w:val="single"/>
        </w:rPr>
        <w:fldChar w:fldCharType="end"/>
      </w:r>
      <w:r>
        <w:rPr>
          <w:rFonts w:ascii="XO Thames" w:hAnsi="XO Thames"/>
        </w:rPr>
        <w:t>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 xml:space="preserve">а также </w:t>
      </w:r>
      <w:r>
        <w:rPr>
          <w:rFonts w:ascii="Times New Roman" w:hAnsi="Times New Roman"/>
        </w:rPr>
        <w:t>в рабочие дни с 10.00 до 1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.00 </w:t>
      </w:r>
      <w:r>
        <w:rPr>
          <w:rFonts w:ascii="Times New Roman" w:hAnsi="Times New Roman"/>
        </w:rPr>
        <w:t>по адресу организатора торгов: Республика Ингушетия, г. Назрань, ул. Победы, д. 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Контактное лицо Организатора</w:t>
      </w:r>
      <w:r>
        <w:rPr>
          <w:rFonts w:ascii="Times New Roman" w:hAnsi="Times New Roman"/>
        </w:rPr>
        <w:t xml:space="preserve"> торгов: Беков Хамзат Юсупович, тел. (8732) 22-61-72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49000000">
      <w:pPr>
        <w:widowControl w:val="0"/>
        <w:tabs>
          <w:tab w:leader="none" w:pos="4677" w:val="center"/>
          <w:tab w:leader="none" w:pos="9355" w:val="right"/>
        </w:tabs>
        <w:spacing w:before="80" w:line="264" w:lineRule="auto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Подведение итогов приема заявок на участие в торгах осуществляется комиссией Организатора торгов на следующий рабочий день после даты окончания приема заявок. Претендент вправе отозвать заявку на участие в торгах до момента приобретения им статуса участника торгов путем направления уведомления об отзыве заявки оператору электронной площадки.</w:t>
      </w:r>
    </w:p>
    <w:p w14:paraId="4A000000">
      <w:pPr>
        <w:widowControl w:val="0"/>
        <w:tabs>
          <w:tab w:leader="none" w:pos="4677" w:val="center"/>
          <w:tab w:leader="none" w:pos="9355" w:val="right"/>
        </w:tabs>
        <w:spacing w:before="80" w:line="264" w:lineRule="auto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Оператор электронной площадки не позднее следующего рабочего дня после дня подписания протокола об определении участников направляет в личные кабинеты претендентов уведомления о признании их участниками торгов или об отказе в признании участниками с указанием оснований отказа.</w:t>
      </w:r>
    </w:p>
    <w:p w14:paraId="4B000000">
      <w:pPr>
        <w:widowControl w:val="0"/>
        <w:tabs>
          <w:tab w:leader="none" w:pos="4677" w:val="center"/>
          <w:tab w:leader="none" w:pos="9355" w:val="right"/>
        </w:tabs>
        <w:spacing w:before="80"/>
        <w:ind/>
        <w:contextualSpacing w:val="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        Участники электронного аукциона подают предложения о цене имущества путем повышения начальной цены продажи имущества на величину установленного настоящим извещением шага аукциона. Победителем аукциона признается участник, предложивший наиболее высокую цену за продаваемое имущество.</w:t>
      </w:r>
      <w:r>
        <w:rPr>
          <w:rFonts w:ascii="Times New Roman" w:hAnsi="Times New Roman"/>
          <w:color w:val="000000"/>
        </w:rPr>
        <w:t xml:space="preserve"> </w:t>
      </w:r>
    </w:p>
    <w:p w14:paraId="4C000000">
      <w:pPr>
        <w:widowControl w:val="0"/>
        <w:tabs>
          <w:tab w:leader="none" w:pos="4677" w:val="center"/>
          <w:tab w:leader="none" w:pos="9355" w:val="right"/>
        </w:tabs>
        <w:spacing w:before="80"/>
        <w:ind/>
        <w:contextualSpacing w:val="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</w:t>
      </w:r>
      <w:r>
        <w:rPr>
          <w:rFonts w:ascii="Times New Roman" w:hAnsi="Times New Roman"/>
          <w:color w:val="000000"/>
        </w:rPr>
        <w:t>Организатор торгов объявляет торги несостоявшимися, если:</w:t>
      </w:r>
    </w:p>
    <w:p w14:paraId="4D000000">
      <w:pPr>
        <w:widowControl w:val="0"/>
        <w:tabs>
          <w:tab w:leader="none" w:pos="4677" w:val="center"/>
          <w:tab w:leader="none" w:pos="9355" w:val="right"/>
        </w:tabs>
        <w:spacing w:before="80"/>
        <w:ind/>
        <w:contextualSpacing w:val="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заявки на участие в торгах подали менее двух лиц;</w:t>
      </w:r>
    </w:p>
    <w:p w14:paraId="4E000000">
      <w:pPr>
        <w:widowControl w:val="0"/>
        <w:tabs>
          <w:tab w:leader="none" w:pos="4677" w:val="center"/>
          <w:tab w:leader="none" w:pos="9355" w:val="right"/>
        </w:tabs>
        <w:spacing w:before="80"/>
        <w:ind/>
        <w:contextualSpacing w:val="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на торги не явились участники торгов либо явился один участник торгов;</w:t>
      </w:r>
    </w:p>
    <w:p w14:paraId="4F000000">
      <w:pPr>
        <w:widowControl w:val="0"/>
        <w:tabs>
          <w:tab w:leader="none" w:pos="4677" w:val="center"/>
          <w:tab w:leader="none" w:pos="9355" w:val="right"/>
        </w:tabs>
        <w:spacing w:before="80"/>
        <w:ind/>
        <w:contextualSpacing w:val="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из явившихся участников торгов никто не сделал надбавки к начальной цене имущества;</w:t>
      </w:r>
    </w:p>
    <w:p w14:paraId="50000000">
      <w:pPr>
        <w:widowControl w:val="0"/>
        <w:tabs>
          <w:tab w:leader="none" w:pos="4677" w:val="center"/>
          <w:tab w:leader="none" w:pos="9355" w:val="right"/>
        </w:tabs>
        <w:spacing w:before="80"/>
        <w:ind/>
        <w:contextualSpacing w:val="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г) лицо, выигравшее торги, в течение пяти дней со дня проведения торгов не оплатило стоимость имущества в полном объеме.</w:t>
      </w:r>
    </w:p>
    <w:p w14:paraId="51000000">
      <w:pPr>
        <w:widowControl w:val="0"/>
        <w:tabs>
          <w:tab w:leader="none" w:pos="4677" w:val="center"/>
          <w:tab w:leader="none" w:pos="9355" w:val="right"/>
        </w:tabs>
        <w:spacing w:before="80" w:line="264" w:lineRule="auto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В день проведения аукциона с победителем торгов подписывается протокол о результатах торгов. </w:t>
      </w:r>
      <w:r>
        <w:rPr>
          <w:rFonts w:ascii="Times New Roman" w:hAnsi="Times New Roman"/>
        </w:rPr>
        <w:t xml:space="preserve">Победитель торгов уплачивает Организатору торгов сумму покупки за вычетом ранее внесенного задатка в течение 5 </w:t>
      </w:r>
      <w:r>
        <w:rPr>
          <w:rFonts w:ascii="Times New Roman" w:hAnsi="Times New Roman"/>
        </w:rPr>
        <w:t>рабочих</w:t>
      </w:r>
      <w:r>
        <w:rPr>
          <w:rFonts w:ascii="Times New Roman" w:hAnsi="Times New Roman"/>
        </w:rPr>
        <w:t xml:space="preserve"> дней с момента подписания обеими сторонами Протокола на счет</w:t>
      </w:r>
      <w:r>
        <w:rPr>
          <w:rFonts w:ascii="Times New Roman" w:hAnsi="Times New Roman"/>
        </w:rPr>
        <w:t>:</w:t>
      </w:r>
    </w:p>
    <w:tbl>
      <w:tblPr>
        <w:tblW w:type="auto" w:w="0"/>
        <w:jc w:val="left"/>
        <w:tblInd w:type="dxa" w:w="-236"/>
        <w:tblBorders>
          <w:top w:sz="4" w:themeColor="text1" w:themeTint="50" w:val="single"/>
          <w:left w:sz="4" w:themeColor="text1" w:themeTint="50" w:val="single"/>
          <w:bottom w:sz="4" w:themeColor="text1" w:themeTint="50" w:val="single"/>
          <w:right w:sz="4" w:themeColor="text1" w:themeTint="50" w:val="single"/>
          <w:insideH w:sz="4" w:themeColor="text1" w:themeTint="50" w:val="single"/>
          <w:insideV w:sz="4" w:themeColor="text1" w:themeTint="50" w:val="single"/>
        </w:tblBorders>
        <w:tblLayout w:type="fixed"/>
        <w:tblCellMar>
          <w:top w:type="dxa" w:w="57"/>
          <w:left w:type="dxa" w:w="108"/>
          <w:bottom w:type="dxa" w:w="57"/>
          <w:right w:type="dxa" w:w="113"/>
        </w:tblCellMar>
      </w:tblPr>
      <w:tblGrid>
        <w:gridCol w:w="3534"/>
        <w:gridCol w:w="6737"/>
      </w:tblGrid>
      <w:tr>
        <w:tc>
          <w:tcPr>
            <w:tcW w:type="dxa" w:w="3534"/>
            <w:tcBorders>
              <w:top w:sz="4" w:themeColor="text1" w:themeTint="50" w:val="single"/>
              <w:left w:sz="4" w:themeColor="text1" w:themeTint="50" w:val="single"/>
              <w:bottom w:sz="4" w:themeColor="text1" w:themeTint="50" w:val="single"/>
              <w:right w:sz="4" w:val="nil"/>
            </w:tcBorders>
            <w:tcMar>
              <w:top w:type="dxa" w:w="57"/>
              <w:left w:type="dxa" w:w="108"/>
              <w:bottom w:type="dxa" w:w="57"/>
              <w:right w:type="dxa" w:w="113"/>
            </w:tcMar>
          </w:tcPr>
          <w:p w14:paraId="52000000">
            <w:pPr>
              <w:pStyle w:val="Style_3"/>
              <w:widowControl w:val="0"/>
              <w:ind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Получатель</w:t>
            </w:r>
          </w:p>
        </w:tc>
        <w:tc>
          <w:tcPr>
            <w:tcW w:type="dxa" w:w="6737"/>
            <w:tcBorders>
              <w:top w:sz="4" w:themeColor="text1" w:themeTint="50" w:val="single"/>
              <w:left w:sz="4" w:themeColor="text1" w:themeTint="50" w:val="single"/>
              <w:bottom w:sz="4" w:themeColor="text1" w:themeTint="50" w:val="single"/>
              <w:right w:sz="4" w:themeColor="text1" w:themeTint="50" w:val="single"/>
            </w:tcBorders>
            <w:tcMar>
              <w:top w:type="dxa" w:w="57"/>
              <w:left w:type="dxa" w:w="108"/>
              <w:bottom w:type="dxa" w:w="57"/>
              <w:right w:type="dxa" w:w="113"/>
            </w:tcMar>
          </w:tcPr>
          <w:p w14:paraId="53000000">
            <w:pPr>
              <w:pStyle w:val="Style_3"/>
              <w:widowControl w:val="0"/>
              <w:ind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УФК по Нижегородской области (ТУ Росимущества </w:t>
            </w:r>
            <w:r>
              <w:rPr>
                <w:rFonts w:ascii="XO Thames" w:hAnsi="XO Thames"/>
                <w:sz w:val="22"/>
              </w:rPr>
              <w:t>в Республике Ингушетия, л/с 05141А26680)</w:t>
            </w:r>
          </w:p>
        </w:tc>
      </w:tr>
      <w:tr>
        <w:tc>
          <w:tcPr>
            <w:tcW w:type="dxa" w:w="3534"/>
            <w:tcBorders>
              <w:top w:sz="4" w:val="nil"/>
              <w:left w:sz="4" w:themeColor="text1" w:themeTint="50" w:val="single"/>
              <w:bottom w:sz="4" w:themeColor="text1" w:themeTint="50" w:val="single"/>
              <w:right w:sz="4" w:val="nil"/>
            </w:tcBorders>
            <w:tcMar>
              <w:top w:type="dxa" w:w="57"/>
              <w:left w:type="dxa" w:w="108"/>
              <w:bottom w:type="dxa" w:w="57"/>
              <w:right w:type="dxa" w:w="113"/>
            </w:tcMar>
          </w:tcPr>
          <w:p w14:paraId="54000000">
            <w:pPr>
              <w:pStyle w:val="Style_3"/>
              <w:widowControl w:val="0"/>
              <w:ind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Лицевой счёт</w:t>
            </w:r>
          </w:p>
        </w:tc>
        <w:tc>
          <w:tcPr>
            <w:tcW w:type="dxa" w:w="6737"/>
            <w:tcBorders>
              <w:top w:sz="4" w:val="nil"/>
              <w:left w:sz="4" w:themeColor="text1" w:themeTint="50" w:val="single"/>
              <w:bottom w:sz="4" w:themeColor="text1" w:themeTint="50" w:val="single"/>
              <w:right w:sz="4" w:themeColor="text1" w:themeTint="50" w:val="single"/>
            </w:tcBorders>
            <w:tcMar>
              <w:top w:type="dxa" w:w="57"/>
              <w:left w:type="dxa" w:w="108"/>
              <w:bottom w:type="dxa" w:w="57"/>
              <w:right w:type="dxa" w:w="113"/>
            </w:tcMar>
          </w:tcPr>
          <w:p w14:paraId="55000000">
            <w:pPr>
              <w:pStyle w:val="Style_3"/>
              <w:widowControl w:val="0"/>
              <w:ind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05141А26680</w:t>
            </w:r>
          </w:p>
        </w:tc>
      </w:tr>
      <w:tr>
        <w:tc>
          <w:tcPr>
            <w:tcW w:type="dxa" w:w="3534"/>
            <w:tcBorders>
              <w:top w:sz="4" w:val="nil"/>
              <w:left w:sz="4" w:themeColor="text1" w:themeTint="50" w:val="single"/>
              <w:bottom w:sz="4" w:themeColor="text1" w:themeTint="50" w:val="single"/>
              <w:right w:sz="4" w:val="nil"/>
            </w:tcBorders>
            <w:tcMar>
              <w:top w:type="dxa" w:w="57"/>
              <w:left w:type="dxa" w:w="108"/>
              <w:bottom w:type="dxa" w:w="57"/>
              <w:right w:type="dxa" w:w="113"/>
            </w:tcMar>
          </w:tcPr>
          <w:p w14:paraId="56000000">
            <w:pPr>
              <w:pStyle w:val="Style_3"/>
              <w:widowControl w:val="0"/>
              <w:ind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ИНН получателя</w:t>
            </w:r>
          </w:p>
        </w:tc>
        <w:tc>
          <w:tcPr>
            <w:tcW w:type="dxa" w:w="6737"/>
            <w:tcBorders>
              <w:top w:sz="4" w:val="nil"/>
              <w:left w:sz="4" w:themeColor="text1" w:themeTint="50" w:val="single"/>
              <w:bottom w:sz="4" w:themeColor="text1" w:themeTint="50" w:val="single"/>
              <w:right w:sz="4" w:themeColor="text1" w:themeTint="50" w:val="single"/>
            </w:tcBorders>
            <w:tcMar>
              <w:top w:type="dxa" w:w="57"/>
              <w:left w:type="dxa" w:w="108"/>
              <w:bottom w:type="dxa" w:w="57"/>
              <w:right w:type="dxa" w:w="113"/>
            </w:tcMar>
          </w:tcPr>
          <w:p w14:paraId="57000000">
            <w:pPr>
              <w:pStyle w:val="Style_3"/>
              <w:widowControl w:val="0"/>
              <w:ind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0608014952</w:t>
            </w:r>
          </w:p>
        </w:tc>
      </w:tr>
      <w:tr>
        <w:tc>
          <w:tcPr>
            <w:tcW w:type="dxa" w:w="3534"/>
            <w:tcBorders>
              <w:top w:sz="4" w:val="nil"/>
              <w:left w:sz="4" w:themeColor="text1" w:themeTint="50" w:val="single"/>
              <w:bottom w:sz="4" w:themeColor="text1" w:themeTint="50" w:val="single"/>
              <w:right w:sz="4" w:val="nil"/>
            </w:tcBorders>
            <w:tcMar>
              <w:top w:type="dxa" w:w="57"/>
              <w:left w:type="dxa" w:w="108"/>
              <w:bottom w:type="dxa" w:w="57"/>
              <w:right w:type="dxa" w:w="113"/>
            </w:tcMar>
          </w:tcPr>
          <w:p w14:paraId="58000000">
            <w:pPr>
              <w:pStyle w:val="Style_3"/>
              <w:widowControl w:val="0"/>
              <w:ind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КПП получателя</w:t>
            </w:r>
          </w:p>
        </w:tc>
        <w:tc>
          <w:tcPr>
            <w:tcW w:type="dxa" w:w="6737"/>
            <w:tcBorders>
              <w:top w:sz="4" w:val="nil"/>
              <w:left w:sz="4" w:themeColor="text1" w:themeTint="50" w:val="single"/>
              <w:bottom w:sz="4" w:themeColor="text1" w:themeTint="50" w:val="single"/>
              <w:right w:sz="4" w:themeColor="text1" w:themeTint="50" w:val="single"/>
            </w:tcBorders>
            <w:tcMar>
              <w:top w:type="dxa" w:w="57"/>
              <w:left w:type="dxa" w:w="108"/>
              <w:bottom w:type="dxa" w:w="57"/>
              <w:right w:type="dxa" w:w="113"/>
            </w:tcMar>
          </w:tcPr>
          <w:p w14:paraId="59000000">
            <w:pPr>
              <w:pStyle w:val="Style_3"/>
              <w:widowControl w:val="0"/>
              <w:ind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060801001</w:t>
            </w:r>
          </w:p>
        </w:tc>
      </w:tr>
      <w:tr>
        <w:tc>
          <w:tcPr>
            <w:tcW w:type="dxa" w:w="3534"/>
            <w:tcBorders>
              <w:top w:sz="4" w:val="nil"/>
              <w:left w:sz="4" w:themeColor="text1" w:themeTint="50" w:val="single"/>
              <w:bottom w:sz="4" w:themeColor="text1" w:themeTint="50" w:val="single"/>
              <w:right w:sz="4" w:val="nil"/>
            </w:tcBorders>
            <w:tcMar>
              <w:top w:type="dxa" w:w="57"/>
              <w:left w:type="dxa" w:w="108"/>
              <w:bottom w:type="dxa" w:w="57"/>
              <w:right w:type="dxa" w:w="113"/>
            </w:tcMar>
          </w:tcPr>
          <w:p w14:paraId="5A000000">
            <w:pPr>
              <w:pStyle w:val="Style_3"/>
              <w:widowControl w:val="0"/>
              <w:ind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БИК банка получателя </w:t>
            </w:r>
            <w:r>
              <w:rPr>
                <w:rFonts w:ascii="XO Thames" w:hAnsi="XO Thames"/>
                <w:sz w:val="22"/>
              </w:rPr>
              <w:t>средств</w:t>
            </w:r>
          </w:p>
        </w:tc>
        <w:tc>
          <w:tcPr>
            <w:tcW w:type="dxa" w:w="6737"/>
            <w:tcBorders>
              <w:top w:sz="4" w:val="nil"/>
              <w:left w:sz="4" w:themeColor="text1" w:themeTint="50" w:val="single"/>
              <w:bottom w:sz="4" w:themeColor="text1" w:themeTint="50" w:val="single"/>
              <w:right w:sz="4" w:themeColor="text1" w:themeTint="50" w:val="single"/>
            </w:tcBorders>
            <w:tcMar>
              <w:top w:type="dxa" w:w="57"/>
              <w:left w:type="dxa" w:w="108"/>
              <w:bottom w:type="dxa" w:w="57"/>
              <w:right w:type="dxa" w:w="113"/>
            </w:tcMar>
          </w:tcPr>
          <w:p w14:paraId="5B000000">
            <w:pPr>
              <w:pStyle w:val="Style_3"/>
              <w:widowControl w:val="0"/>
              <w:ind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012202102</w:t>
            </w:r>
          </w:p>
        </w:tc>
      </w:tr>
      <w:tr>
        <w:tc>
          <w:tcPr>
            <w:tcW w:type="dxa" w:w="3534"/>
            <w:tcBorders>
              <w:top w:sz="4" w:val="nil"/>
              <w:left w:sz="4" w:themeColor="text1" w:themeTint="50" w:val="single"/>
              <w:bottom w:sz="4" w:themeColor="text1" w:themeTint="50" w:val="single"/>
              <w:right w:sz="4" w:val="nil"/>
            </w:tcBorders>
            <w:tcMar>
              <w:top w:type="dxa" w:w="57"/>
              <w:left w:type="dxa" w:w="108"/>
              <w:bottom w:type="dxa" w:w="57"/>
              <w:right w:type="dxa" w:w="113"/>
            </w:tcMar>
          </w:tcPr>
          <w:p w14:paraId="5C000000">
            <w:pPr>
              <w:pStyle w:val="Style_3"/>
              <w:widowControl w:val="0"/>
              <w:ind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Наименование банка получателя</w:t>
            </w:r>
          </w:p>
        </w:tc>
        <w:tc>
          <w:tcPr>
            <w:tcW w:type="dxa" w:w="6737"/>
            <w:tcBorders>
              <w:top w:sz="4" w:val="nil"/>
              <w:left w:sz="4" w:themeColor="text1" w:themeTint="50" w:val="single"/>
              <w:bottom w:sz="4" w:themeColor="text1" w:themeTint="50" w:val="single"/>
              <w:right w:sz="4" w:themeColor="text1" w:themeTint="50" w:val="single"/>
            </w:tcBorders>
            <w:tcMar>
              <w:top w:type="dxa" w:w="57"/>
              <w:left w:type="dxa" w:w="108"/>
              <w:bottom w:type="dxa" w:w="57"/>
              <w:right w:type="dxa" w:w="113"/>
            </w:tcMar>
          </w:tcPr>
          <w:p w14:paraId="5D000000">
            <w:pPr>
              <w:pStyle w:val="Style_3"/>
              <w:widowControl w:val="0"/>
              <w:ind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ОКЦ №1 ВОЛГО-ВЯТСКОГО ГУ БАНКА РОССИИ// УФК по Нижегородской области, г. Нижний Новгород</w:t>
            </w:r>
          </w:p>
        </w:tc>
      </w:tr>
      <w:tr>
        <w:tc>
          <w:tcPr>
            <w:tcW w:type="dxa" w:w="3534"/>
            <w:tcBorders>
              <w:top w:sz="4" w:val="nil"/>
              <w:left w:sz="4" w:themeColor="text1" w:themeTint="50" w:val="single"/>
              <w:bottom w:sz="4" w:themeColor="text1" w:themeTint="50" w:val="single"/>
              <w:right w:sz="4" w:val="nil"/>
            </w:tcBorders>
            <w:tcMar>
              <w:top w:type="dxa" w:w="57"/>
              <w:left w:type="dxa" w:w="108"/>
              <w:bottom w:type="dxa" w:w="57"/>
              <w:right w:type="dxa" w:w="113"/>
            </w:tcMar>
          </w:tcPr>
          <w:p w14:paraId="5E000000">
            <w:pPr>
              <w:pStyle w:val="Style_3"/>
              <w:widowControl w:val="0"/>
              <w:ind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Казначейский счёт </w:t>
            </w:r>
            <w:r>
              <w:rPr>
                <w:rFonts w:ascii="XO Thames" w:hAnsi="XO Thames"/>
                <w:sz w:val="22"/>
              </w:rPr>
              <w:t xml:space="preserve">(номер счёта получателя </w:t>
            </w:r>
            <w:r>
              <w:rPr>
                <w:rFonts w:ascii="XO Thames" w:hAnsi="XO Thames"/>
                <w:sz w:val="22"/>
              </w:rPr>
              <w:t>средств)</w:t>
            </w:r>
          </w:p>
        </w:tc>
        <w:tc>
          <w:tcPr>
            <w:tcW w:type="dxa" w:w="6737"/>
            <w:tcBorders>
              <w:top w:sz="4" w:val="nil"/>
              <w:left w:sz="4" w:themeColor="text1" w:themeTint="50" w:val="single"/>
              <w:bottom w:sz="4" w:themeColor="text1" w:themeTint="50" w:val="single"/>
              <w:right w:sz="4" w:themeColor="text1" w:themeTint="50" w:val="single"/>
            </w:tcBorders>
            <w:tcMar>
              <w:top w:type="dxa" w:w="57"/>
              <w:left w:type="dxa" w:w="108"/>
              <w:bottom w:type="dxa" w:w="57"/>
              <w:right w:type="dxa" w:w="113"/>
            </w:tcMar>
          </w:tcPr>
          <w:p w14:paraId="5F000000">
            <w:pPr>
              <w:pStyle w:val="Style_3"/>
              <w:widowControl w:val="0"/>
              <w:ind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03212643000000013205</w:t>
            </w:r>
          </w:p>
        </w:tc>
      </w:tr>
      <w:tr>
        <w:trPr>
          <w:trHeight w:hRule="atLeast" w:val="576"/>
        </w:trPr>
        <w:tc>
          <w:tcPr>
            <w:tcW w:type="dxa" w:w="3534"/>
            <w:tcBorders>
              <w:top w:sz="4" w:val="nil"/>
              <w:left w:sz="4" w:themeColor="text1" w:themeTint="50" w:val="single"/>
              <w:bottom w:sz="4" w:themeColor="text1" w:themeTint="50" w:val="single"/>
              <w:right w:sz="4" w:val="nil"/>
            </w:tcBorders>
            <w:tcMar>
              <w:top w:type="dxa" w:w="57"/>
              <w:left w:type="dxa" w:w="108"/>
              <w:bottom w:type="dxa" w:w="57"/>
              <w:right w:type="dxa" w:w="113"/>
            </w:tcMar>
          </w:tcPr>
          <w:p w14:paraId="60000000">
            <w:pPr>
              <w:pStyle w:val="Style_3"/>
              <w:widowControl w:val="0"/>
              <w:ind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Единый казначейский счёт </w:t>
            </w:r>
            <w:r>
              <w:rPr>
                <w:rFonts w:ascii="XO Thames" w:hAnsi="XO Thames"/>
                <w:sz w:val="22"/>
              </w:rPr>
              <w:t xml:space="preserve">(номер счёта банка </w:t>
            </w:r>
            <w:r>
              <w:rPr>
                <w:rFonts w:ascii="XO Thames" w:hAnsi="XO Thames"/>
                <w:sz w:val="22"/>
              </w:rPr>
              <w:t>получателя средств)</w:t>
            </w:r>
          </w:p>
        </w:tc>
        <w:tc>
          <w:tcPr>
            <w:tcW w:type="dxa" w:w="6737"/>
            <w:tcBorders>
              <w:top w:sz="4" w:val="nil"/>
              <w:left w:sz="4" w:themeColor="text1" w:themeTint="50" w:val="single"/>
              <w:bottom w:sz="4" w:themeColor="text1" w:themeTint="50" w:val="single"/>
              <w:right w:sz="4" w:themeColor="text1" w:themeTint="50" w:val="single"/>
            </w:tcBorders>
            <w:tcMar>
              <w:top w:type="dxa" w:w="57"/>
              <w:left w:type="dxa" w:w="108"/>
              <w:bottom w:type="dxa" w:w="57"/>
              <w:right w:type="dxa" w:w="113"/>
            </w:tcMar>
          </w:tcPr>
          <w:p w14:paraId="61000000">
            <w:pPr>
              <w:pStyle w:val="Style_3"/>
              <w:widowControl w:val="0"/>
              <w:ind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40102810745370000024</w:t>
            </w:r>
          </w:p>
        </w:tc>
      </w:tr>
      <w:tr>
        <w:trPr>
          <w:trHeight w:hRule="atLeast" w:val="340"/>
        </w:trPr>
        <w:tc>
          <w:tcPr>
            <w:tcW w:type="dxa" w:w="3534"/>
            <w:tcBorders>
              <w:top w:sz="4" w:val="nil"/>
              <w:left w:sz="4" w:themeColor="text1" w:themeTint="50" w:val="single"/>
              <w:bottom w:sz="4" w:themeColor="text1" w:themeTint="50" w:val="single"/>
              <w:right w:sz="4" w:val="nil"/>
            </w:tcBorders>
            <w:tcMar>
              <w:top w:type="dxa" w:w="57"/>
              <w:left w:type="dxa" w:w="108"/>
              <w:bottom w:type="dxa" w:w="57"/>
              <w:right w:type="dxa" w:w="113"/>
            </w:tcMar>
          </w:tcPr>
          <w:p w14:paraId="62000000">
            <w:pPr>
              <w:pStyle w:val="Style_3"/>
              <w:widowControl w:val="0"/>
              <w:ind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Код НПА </w:t>
            </w:r>
          </w:p>
        </w:tc>
        <w:tc>
          <w:tcPr>
            <w:tcW w:type="dxa" w:w="6737"/>
            <w:tcBorders>
              <w:top w:sz="4" w:val="nil"/>
              <w:left w:sz="4" w:themeColor="text1" w:themeTint="50" w:val="single"/>
              <w:bottom w:sz="4" w:themeColor="text1" w:themeTint="50" w:val="single"/>
              <w:right w:sz="4" w:themeColor="text1" w:themeTint="50" w:val="single"/>
            </w:tcBorders>
            <w:tcMar>
              <w:top w:type="dxa" w:w="57"/>
              <w:left w:type="dxa" w:w="108"/>
              <w:bottom w:type="dxa" w:w="57"/>
              <w:right w:type="dxa" w:w="113"/>
            </w:tcMar>
          </w:tcPr>
          <w:p w14:paraId="63000000">
            <w:pPr>
              <w:pStyle w:val="Style_3"/>
              <w:widowControl w:val="0"/>
              <w:ind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0001</w:t>
            </w:r>
          </w:p>
        </w:tc>
      </w:tr>
      <w:tr>
        <w:tc>
          <w:tcPr>
            <w:tcW w:type="dxa" w:w="3534"/>
            <w:tcBorders>
              <w:top w:sz="4" w:val="nil"/>
              <w:left w:sz="4" w:themeColor="text1" w:themeTint="50" w:val="single"/>
              <w:bottom w:sz="4" w:themeColor="text1" w:themeTint="50" w:val="single"/>
              <w:right w:sz="4" w:val="nil"/>
            </w:tcBorders>
            <w:tcMar>
              <w:top w:type="dxa" w:w="57"/>
              <w:left w:type="dxa" w:w="108"/>
              <w:bottom w:type="dxa" w:w="57"/>
              <w:right w:type="dxa" w:w="113"/>
            </w:tcMar>
          </w:tcPr>
          <w:p w14:paraId="64000000">
            <w:pPr>
              <w:pStyle w:val="Style_3"/>
              <w:widowControl w:val="0"/>
              <w:ind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ОКТМО (единый)</w:t>
            </w:r>
          </w:p>
        </w:tc>
        <w:tc>
          <w:tcPr>
            <w:tcW w:type="dxa" w:w="6737"/>
            <w:tcBorders>
              <w:top w:sz="4" w:val="nil"/>
              <w:left w:sz="4" w:themeColor="text1" w:themeTint="50" w:val="single"/>
              <w:bottom w:sz="4" w:themeColor="text1" w:themeTint="50" w:val="single"/>
              <w:right w:sz="4" w:themeColor="text1" w:themeTint="50" w:val="single"/>
            </w:tcBorders>
            <w:tcMar>
              <w:top w:type="dxa" w:w="57"/>
              <w:left w:type="dxa" w:w="108"/>
              <w:bottom w:type="dxa" w:w="57"/>
              <w:right w:type="dxa" w:w="113"/>
            </w:tcMar>
          </w:tcPr>
          <w:p w14:paraId="65000000">
            <w:pPr>
              <w:pStyle w:val="Style_3"/>
              <w:widowControl w:val="0"/>
              <w:ind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26706000</w:t>
            </w:r>
          </w:p>
        </w:tc>
      </w:tr>
      <w:tr>
        <w:tc>
          <w:tcPr>
            <w:tcW w:type="dxa" w:w="3534"/>
            <w:tcBorders>
              <w:top w:sz="4" w:val="nil"/>
              <w:left w:sz="4" w:themeColor="text1" w:themeTint="50" w:val="single"/>
              <w:bottom w:sz="4" w:themeColor="text1" w:themeTint="50" w:val="single"/>
              <w:right w:sz="4" w:val="nil"/>
            </w:tcBorders>
            <w:tcMar>
              <w:top w:type="dxa" w:w="57"/>
              <w:left w:type="dxa" w:w="108"/>
              <w:bottom w:type="dxa" w:w="57"/>
              <w:right w:type="dxa" w:w="113"/>
            </w:tcMar>
          </w:tcPr>
          <w:p w14:paraId="66000000">
            <w:pPr>
              <w:pStyle w:val="Style_3"/>
              <w:widowControl w:val="0"/>
              <w:ind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ОГРН</w:t>
            </w:r>
          </w:p>
        </w:tc>
        <w:tc>
          <w:tcPr>
            <w:tcW w:type="dxa" w:w="6737"/>
            <w:tcBorders>
              <w:top w:sz="4" w:val="nil"/>
              <w:left w:sz="4" w:themeColor="text1" w:themeTint="50" w:val="single"/>
              <w:bottom w:sz="4" w:themeColor="text1" w:themeTint="50" w:val="single"/>
              <w:right w:sz="4" w:themeColor="text1" w:themeTint="50" w:val="single"/>
            </w:tcBorders>
            <w:tcMar>
              <w:top w:type="dxa" w:w="57"/>
              <w:left w:type="dxa" w:w="108"/>
              <w:bottom w:type="dxa" w:w="57"/>
              <w:right w:type="dxa" w:w="113"/>
            </w:tcMar>
          </w:tcPr>
          <w:p w14:paraId="67000000">
            <w:pPr>
              <w:pStyle w:val="Style_3"/>
              <w:widowControl w:val="0"/>
              <w:ind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1100608000646</w:t>
            </w:r>
          </w:p>
        </w:tc>
      </w:tr>
    </w:tbl>
    <w:p w14:paraId="68000000">
      <w:pPr>
        <w:widowControl w:val="0"/>
        <w:tabs>
          <w:tab w:leader="none" w:pos="567" w:val="left"/>
          <w:tab w:leader="none" w:pos="993" w:val="left"/>
        </w:tabs>
        <w:ind w:firstLine="567" w:left="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В назначение платежа </w:t>
      </w:r>
      <w:r>
        <w:rPr>
          <w:rFonts w:ascii="XO Thames" w:hAnsi="XO Thames"/>
          <w:b w:val="1"/>
          <w:color w:val="000000"/>
          <w:u w:val="single"/>
        </w:rPr>
        <w:t>обязательно прописать</w:t>
      </w:r>
      <w:r>
        <w:rPr>
          <w:rFonts w:ascii="XO Thames" w:hAnsi="XO Thames"/>
          <w:color w:val="000000"/>
        </w:rPr>
        <w:t xml:space="preserve">: «Перечисление денежных средств (ИНН плательщика) в счет оплаты за </w:t>
      </w:r>
      <w:r>
        <w:rPr>
          <w:rFonts w:ascii="XO Thames" w:hAnsi="XO Thames"/>
          <w:color w:val="000000"/>
        </w:rPr>
        <w:t>лот №___, извещение №_____________</w:t>
      </w:r>
      <w:r>
        <w:rPr>
          <w:rFonts w:ascii="XO Thames" w:hAnsi="XO Thames"/>
          <w:color w:val="000000"/>
        </w:rPr>
        <w:t>»</w:t>
      </w:r>
    </w:p>
    <w:p w14:paraId="69000000">
      <w:pPr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Организатор торгов заключает с победителем торгов договор купли - продажи не ранее чем через десять рабочих дней со дня подписания протокола о результатах торгов. </w:t>
      </w:r>
      <w:r>
        <w:rPr>
          <w:rFonts w:ascii="Times New Roman" w:hAnsi="Times New Roman"/>
        </w:rPr>
        <w:t>Право собственности на имущество переходит к покупателю в порядке, установленном законодательством РФ. Расходы по оформлению права собственности возлагаются на покупателя.</w:t>
      </w:r>
    </w:p>
    <w:p w14:paraId="6A000000">
      <w:pPr>
        <w:pStyle w:val="Style_4"/>
        <w:spacing w:after="0"/>
        <w:ind w:firstLine="708" w:left="0"/>
        <w:jc w:val="both"/>
        <w:rPr>
          <w:color w:val="000000"/>
        </w:rPr>
      </w:pPr>
      <w:r>
        <w:rPr>
          <w:color w:val="000000"/>
        </w:rPr>
        <w:t xml:space="preserve">Организатор торгов оставляет за собой право снять выставленное имущество с торгов по указанию судебного пристава - исполнителя. </w:t>
      </w:r>
    </w:p>
    <w:p w14:paraId="6B000000">
      <w:pPr>
        <w:pStyle w:val="Style_4"/>
        <w:spacing w:after="0"/>
        <w:ind w:firstLine="708" w:left="0"/>
        <w:jc w:val="both"/>
        <w:rPr>
          <w:color w:val="000000"/>
        </w:rPr>
      </w:pPr>
      <w:r>
        <w:rPr>
          <w:color w:val="000000"/>
        </w:rPr>
        <w:t>Все вопросы, касающиеся проведения аукциона, не нашедшие отражения в настоящем извещении, регулируются в соответствии с законодательством Р</w:t>
      </w:r>
      <w:r>
        <w:rPr>
          <w:color w:val="000000"/>
        </w:rPr>
        <w:t xml:space="preserve">оссийской </w:t>
      </w:r>
      <w:r>
        <w:rPr>
          <w:color w:val="000000"/>
        </w:rPr>
        <w:t>Ф</w:t>
      </w:r>
      <w:r>
        <w:rPr>
          <w:color w:val="000000"/>
        </w:rPr>
        <w:t>едерации</w:t>
      </w:r>
      <w:r>
        <w:rPr>
          <w:color w:val="000000"/>
        </w:rPr>
        <w:t xml:space="preserve">. </w:t>
      </w:r>
    </w:p>
    <w:p w14:paraId="6C000000">
      <w:pPr>
        <w:widowControl w:val="0"/>
        <w:tabs>
          <w:tab w:leader="none" w:pos="4677" w:val="center"/>
          <w:tab w:leader="none" w:pos="9355" w:val="right"/>
        </w:tabs>
        <w:spacing w:before="80" w:line="264" w:lineRule="auto"/>
        <w:ind/>
        <w:jc w:val="both"/>
        <w:rPr>
          <w:rFonts w:ascii="Times New Roman" w:hAnsi="Times New Roman"/>
          <w:color w:val="000000"/>
        </w:rPr>
      </w:pPr>
    </w:p>
    <w:p w14:paraId="6D000000">
      <w:pPr>
        <w:widowControl w:val="0"/>
        <w:tabs>
          <w:tab w:leader="none" w:pos="4677" w:val="center"/>
          <w:tab w:leader="none" w:pos="9355" w:val="right"/>
        </w:tabs>
        <w:spacing w:before="80" w:line="264" w:lineRule="auto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14:paraId="6E000000">
      <w:pPr>
        <w:ind w:firstLine="36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Р</w:t>
      </w:r>
      <w:r>
        <w:rPr>
          <w:rFonts w:ascii="Times New Roman" w:hAnsi="Times New Roman"/>
        </w:rPr>
        <w:t>уководитель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</w:rPr>
        <w:t>.А. Гагиев</w:t>
      </w:r>
    </w:p>
    <w:p w14:paraId="6F000000">
      <w:pPr>
        <w:ind w:firstLine="360" w:left="0"/>
        <w:jc w:val="both"/>
        <w:rPr>
          <w:rFonts w:ascii="Times New Roman" w:hAnsi="Times New Roman"/>
        </w:rPr>
      </w:pPr>
    </w:p>
    <w:p w14:paraId="70000000">
      <w:pPr>
        <w:ind w:firstLine="360" w:left="0"/>
        <w:jc w:val="both"/>
        <w:rPr>
          <w:rFonts w:ascii="Times New Roman" w:hAnsi="Times New Roman"/>
        </w:rPr>
      </w:pPr>
    </w:p>
    <w:sectPr>
      <w:headerReference r:id="rId1" w:type="default"/>
      <w:pgSz w:h="16838" w:orient="portrait" w:w="11906"/>
      <w:pgMar w:bottom="510" w:footer="720" w:gutter="0" w:header="709" w:left="1361" w:right="510" w:top="51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="Calibri" w:hAnsi="Calibri"/>
      <w:color w:val="000000"/>
      <w:sz w:val="24"/>
    </w:rPr>
  </w:style>
  <w:style w:default="1" w:styleId="Style_3_ch" w:type="character">
    <w:name w:val="Normal"/>
    <w:link w:val="Style_3"/>
    <w:rPr>
      <w:rFonts w:ascii="Calibri" w:hAnsi="Calibri"/>
      <w:color w:val="000000"/>
      <w:sz w:val="24"/>
    </w:rPr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Основной текст (2) + Полужирный"/>
    <w:link w:val="Style_9_ch"/>
    <w:rPr>
      <w:rFonts w:ascii="Times New Roman" w:hAnsi="Times New Roman"/>
      <w:b w:val="1"/>
      <w:color w:val="000000"/>
      <w:spacing w:val="0"/>
      <w:sz w:val="17"/>
      <w:u w:val="none"/>
    </w:rPr>
  </w:style>
  <w:style w:styleId="Style_9_ch" w:type="character">
    <w:name w:val="Основной текст (2) + Полужирный"/>
    <w:link w:val="Style_9"/>
    <w:rPr>
      <w:rFonts w:ascii="Times New Roman" w:hAnsi="Times New Roman"/>
      <w:b w:val="1"/>
      <w:color w:val="000000"/>
      <w:spacing w:val="0"/>
      <w:sz w:val="17"/>
      <w:u w:val="none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 Знак Знак1"/>
    <w:link w:val="Style_12_ch"/>
    <w:rPr>
      <w:rFonts w:ascii="Times New Roman" w:hAnsi="Times New Roman"/>
      <w:sz w:val="24"/>
    </w:rPr>
  </w:style>
  <w:style w:styleId="Style_12_ch" w:type="character">
    <w:name w:val=" Знак Знак1"/>
    <w:link w:val="Style_12"/>
    <w:rPr>
      <w:rFonts w:ascii="Times New Roman" w:hAnsi="Times New Roman"/>
      <w:sz w:val="24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3"/>
    <w:next w:val="Style_3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Balloon Text"/>
    <w:basedOn w:val="Style_3"/>
    <w:link w:val="Style_15_ch"/>
    <w:rPr>
      <w:rFonts w:ascii="Tahoma" w:hAnsi="Tahoma"/>
      <w:sz w:val="16"/>
    </w:rPr>
  </w:style>
  <w:style w:styleId="Style_15_ch" w:type="character">
    <w:name w:val="Balloon Text"/>
    <w:basedOn w:val="Style_3_ch"/>
    <w:link w:val="Style_15"/>
    <w:rPr>
      <w:rFonts w:ascii="Tahoma" w:hAnsi="Tahoma"/>
      <w:sz w:val="16"/>
    </w:rPr>
  </w:style>
  <w:style w:styleId="Style_16" w:type="paragraph">
    <w:name w:val="footer"/>
    <w:basedOn w:val="Style_3"/>
    <w:link w:val="Style_16_ch"/>
    <w:pPr>
      <w:tabs>
        <w:tab w:leader="none" w:pos="4677" w:val="center"/>
        <w:tab w:leader="none" w:pos="9355" w:val="right"/>
      </w:tabs>
      <w:ind/>
    </w:pPr>
    <w:rPr>
      <w:rFonts w:ascii="Times New Roman" w:hAnsi="Times New Roman"/>
    </w:rPr>
  </w:style>
  <w:style w:styleId="Style_16_ch" w:type="character">
    <w:name w:val="footer"/>
    <w:basedOn w:val="Style_3_ch"/>
    <w:link w:val="Style_16"/>
    <w:rPr>
      <w:rFonts w:ascii="Times New Roman" w:hAnsi="Times New Roman"/>
    </w:rPr>
  </w:style>
  <w:style w:styleId="Style_17" w:type="paragraph">
    <w:name w:val="Основной текст (2)"/>
    <w:link w:val="Style_17_ch"/>
    <w:rPr>
      <w:rFonts w:ascii="Times New Roman" w:hAnsi="Times New Roman"/>
      <w:color w:val="000000"/>
      <w:spacing w:val="0"/>
      <w:sz w:val="17"/>
      <w:u w:val="none"/>
    </w:rPr>
  </w:style>
  <w:style w:styleId="Style_17_ch" w:type="character">
    <w:name w:val="Основной текст (2)"/>
    <w:link w:val="Style_17"/>
    <w:rPr>
      <w:rFonts w:ascii="Times New Roman" w:hAnsi="Times New Roman"/>
      <w:color w:val="000000"/>
      <w:spacing w:val="0"/>
      <w:sz w:val="17"/>
      <w:u w:val="none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  <w:rPr>
      <w:rFonts w:ascii="Times New Roman" w:hAnsi="Times New Roman"/>
    </w:rPr>
  </w:style>
  <w:style w:styleId="Style_1_ch" w:type="character">
    <w:name w:val="header"/>
    <w:basedOn w:val="Style_3_ch"/>
    <w:link w:val="Style_1"/>
    <w:rPr>
      <w:rFonts w:ascii="Times New Roman" w:hAnsi="Times New Roman"/>
    </w:rPr>
  </w:style>
  <w:style w:styleId="Style_18" w:type="paragraph">
    <w:name w:val="heading 5"/>
    <w:next w:val="Style_3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3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3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3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3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 Знак Знак2"/>
    <w:link w:val="Style_25_ch"/>
    <w:rPr>
      <w:rFonts w:ascii="Tahoma" w:hAnsi="Tahoma"/>
      <w:sz w:val="16"/>
    </w:rPr>
  </w:style>
  <w:style w:styleId="Style_25_ch" w:type="character">
    <w:name w:val=" Знак Знак2"/>
    <w:link w:val="Style_25"/>
    <w:rPr>
      <w:rFonts w:ascii="Tahoma" w:hAnsi="Tahoma"/>
      <w:sz w:val="16"/>
    </w:rPr>
  </w:style>
  <w:style w:styleId="Style_26" w:type="paragraph">
    <w:name w:val="toc 5"/>
    <w:next w:val="Style_3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3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List Paragraph"/>
    <w:basedOn w:val="Style_3"/>
    <w:link w:val="Style_28_ch"/>
    <w:pPr>
      <w:ind w:firstLine="0" w:left="720"/>
      <w:contextualSpacing w:val="1"/>
    </w:pPr>
    <w:rPr>
      <w:rFonts w:ascii="Times New Roman" w:hAnsi="Times New Roman"/>
      <w:color w:val="000000"/>
    </w:rPr>
  </w:style>
  <w:style w:styleId="Style_28_ch" w:type="character">
    <w:name w:val="List Paragraph"/>
    <w:basedOn w:val="Style_3_ch"/>
    <w:link w:val="Style_28"/>
    <w:rPr>
      <w:rFonts w:ascii="Times New Roman" w:hAnsi="Times New Roman"/>
      <w:color w:val="000000"/>
    </w:rPr>
  </w:style>
  <w:style w:styleId="Style_29" w:type="paragraph">
    <w:name w:val="Title"/>
    <w:next w:val="Style_3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3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3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32" w:type="paragraph">
    <w:name w:val=" Знак Знак"/>
    <w:link w:val="Style_32_ch"/>
    <w:rPr>
      <w:rFonts w:ascii="Times New Roman" w:hAnsi="Times New Roman"/>
      <w:sz w:val="24"/>
    </w:rPr>
  </w:style>
  <w:style w:styleId="Style_32_ch" w:type="character">
    <w:name w:val=" Знак Знак"/>
    <w:link w:val="Style_32"/>
    <w:rPr>
      <w:rFonts w:ascii="Times New Roman" w:hAnsi="Times New Roman"/>
      <w:sz w:val="24"/>
    </w:rPr>
  </w:style>
  <w:style w:styleId="Style_4" w:type="paragraph">
    <w:name w:val="Body Text Indent"/>
    <w:basedOn w:val="Style_3"/>
    <w:link w:val="Style_4_ch"/>
    <w:pPr>
      <w:spacing w:after="120"/>
      <w:ind w:firstLine="0" w:left="283"/>
    </w:pPr>
    <w:rPr>
      <w:rFonts w:ascii="Times New Roman" w:hAnsi="Times New Roman"/>
      <w:color w:val="000000"/>
    </w:rPr>
  </w:style>
  <w:style w:styleId="Style_4_ch" w:type="character">
    <w:name w:val="Body Text Indent"/>
    <w:basedOn w:val="Style_3_ch"/>
    <w:link w:val="Style_4"/>
    <w:rPr>
      <w:rFonts w:ascii="Times New Roman" w:hAnsi="Times New Roman"/>
      <w:color w:val="000000"/>
    </w:r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2026-01-19T06:48:46Z</dcterms:modified>
</cp:coreProperties>
</file>