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76" w:lineRule="auto"/>
        <w:rPr>
          <w:b/>
          <w:sz w:val="6"/>
          <w:szCs w:val="6"/>
          <w:u w:val="single"/>
        </w:rPr>
      </w:pPr>
      <w:r>
        <w:rPr>
          <w:b/>
          <w:sz w:val="6"/>
          <w:szCs w:val="6"/>
          <w:u w:val="single"/>
        </w:rPr>
        <w:t xml:space="preserve"> </w:t>
      </w:r>
      <w:r>
        <w:rPr>
          <w:b/>
          <w:sz w:val="6"/>
          <w:szCs w:val="6"/>
          <w:u w:val="single"/>
        </w:rPr>
      </w:r>
      <w:r>
        <w:rPr>
          <w:b/>
          <w:sz w:val="6"/>
          <w:szCs w:val="6"/>
          <w:u w:val="single"/>
        </w:rPr>
      </w:r>
    </w:p>
    <w:p>
      <w:pPr>
        <w:jc w:val="center"/>
        <w:spacing w:line="276" w:lineRule="auto"/>
        <w:rPr>
          <w:b/>
          <w:sz w:val="6"/>
          <w:szCs w:val="6"/>
          <w:u w:val="single"/>
        </w:rPr>
      </w:pPr>
      <w:r>
        <w:rPr>
          <w:b/>
          <w:sz w:val="6"/>
          <w:szCs w:val="6"/>
          <w:u w:val="single"/>
        </w:rPr>
      </w:r>
      <w:r>
        <w:rPr>
          <w:b/>
          <w:sz w:val="6"/>
          <w:szCs w:val="6"/>
          <w:u w:val="single"/>
        </w:rPr>
      </w:r>
      <w:r>
        <w:rPr>
          <w:b/>
          <w:sz w:val="6"/>
          <w:szCs w:val="6"/>
          <w:u w:val="single"/>
        </w:rPr>
      </w:r>
    </w:p>
    <w:p>
      <w:pPr>
        <w:ind w:right="-58"/>
        <w:jc w:val="center"/>
        <w:rPr>
          <w:b/>
          <w:sz w:val="6"/>
          <w:szCs w:val="6"/>
        </w:rPr>
      </w:pPr>
      <w:r>
        <w:rPr>
          <w:b/>
          <w:sz w:val="6"/>
          <w:szCs w:val="6"/>
        </w:rPr>
      </w:r>
      <w:r>
        <w:rPr>
          <w:b/>
          <w:sz w:val="6"/>
          <w:szCs w:val="6"/>
        </w:rPr>
      </w:r>
      <w:r>
        <w:rPr>
          <w:b/>
          <w:sz w:val="6"/>
          <w:szCs w:val="6"/>
        </w:rPr>
      </w:r>
    </w:p>
    <w:p>
      <w:pPr>
        <w:ind w:right="-58"/>
        <w:jc w:val="center"/>
        <w:spacing w:line="276" w:lineRule="auto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 ТЕРРИТОРИАЛЬНОЕ УПРАВЛЕНИЕ ФЕДЕРАЛЬНОГО АГЕНТСТВА ПО УПРАВЛЕНИЮ ГОСУДАРСТВЕННЫМ ИМУЩЕСТВОМ 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right="-58"/>
        <w:jc w:val="center"/>
        <w:spacing w:line="276" w:lineRule="auto"/>
        <w:rPr>
          <w:b/>
          <w:bCs/>
          <w:sz w:val="22"/>
          <w:szCs w:val="22"/>
        </w:rPr>
      </w:pPr>
      <w:r>
        <w:rPr>
          <w:b/>
          <w:sz w:val="26"/>
          <w:szCs w:val="26"/>
        </w:rPr>
        <w:t xml:space="preserve">В ПРИМОРСКОМ КРАЕ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both"/>
        <w:spacing w:line="276" w:lineRule="auto"/>
        <w:rPr>
          <w:iCs/>
          <w:sz w:val="23"/>
          <w:szCs w:val="23"/>
        </w:rPr>
      </w:pPr>
      <w:r>
        <w:rPr>
          <w:sz w:val="24"/>
          <w:szCs w:val="24"/>
        </w:rPr>
        <w:t xml:space="preserve">сообщает о проведении торгов по продаже </w:t>
      </w:r>
      <w:r>
        <w:rPr>
          <w:sz w:val="24"/>
          <w:szCs w:val="24"/>
        </w:rPr>
        <w:t xml:space="preserve">арестованного </w:t>
      </w:r>
      <w:r>
        <w:rPr>
          <w:sz w:val="24"/>
          <w:szCs w:val="24"/>
        </w:rPr>
        <w:t xml:space="preserve">имущества </w:t>
      </w:r>
      <w:r>
        <w:rPr>
          <w:sz w:val="24"/>
          <w:szCs w:val="24"/>
        </w:rPr>
        <w:t xml:space="preserve">в форме аукциона в электронной форме, открытого по составу участников и </w:t>
      </w:r>
      <w:r>
        <w:rPr>
          <w:bCs/>
          <w:sz w:val="24"/>
          <w:szCs w:val="24"/>
        </w:rPr>
        <w:t xml:space="preserve">открытого по форме подачи предложений о цене, </w:t>
      </w:r>
      <w:r>
        <w:rPr>
          <w:sz w:val="23"/>
          <w:szCs w:val="23"/>
        </w:rPr>
        <w:t xml:space="preserve">проводимых</w:t>
      </w:r>
      <w:r>
        <w:rPr>
          <w:iCs/>
          <w:sz w:val="23"/>
          <w:szCs w:val="23"/>
        </w:rPr>
        <w:t xml:space="preserve"> </w:t>
      </w:r>
      <w:r>
        <w:rPr>
          <w:iCs/>
          <w:sz w:val="23"/>
          <w:szCs w:val="23"/>
        </w:rPr>
        <w:t xml:space="preserve">на официальном сайте электронной площадки </w:t>
      </w:r>
      <w:r>
        <w:rPr>
          <w:iCs/>
          <w:sz w:val="23"/>
          <w:szCs w:val="23"/>
        </w:rPr>
        <w:t xml:space="preserve">АО «Сбербанк - Автоматизированная система торгов»</w:t>
      </w:r>
      <w:r>
        <w:rPr>
          <w:iCs/>
          <w:sz w:val="23"/>
          <w:szCs w:val="23"/>
        </w:rPr>
        <w:t xml:space="preserve"> - </w:t>
      </w:r>
      <w:r>
        <w:rPr>
          <w:iCs/>
          <w:sz w:val="23"/>
          <w:szCs w:val="23"/>
        </w:rPr>
        <w:t xml:space="preserve">https://www.sberbank-ast.ru/</w:t>
      </w:r>
      <w:r>
        <w:rPr>
          <w:iCs/>
          <w:sz w:val="23"/>
          <w:szCs w:val="23"/>
        </w:rPr>
        <w:t xml:space="preserve">.</w:t>
      </w:r>
      <w:r>
        <w:rPr>
          <w:iCs/>
          <w:sz w:val="23"/>
          <w:szCs w:val="23"/>
        </w:rPr>
      </w:r>
      <w:r>
        <w:rPr>
          <w:iCs/>
          <w:sz w:val="23"/>
          <w:szCs w:val="23"/>
        </w:rPr>
      </w:r>
    </w:p>
    <w:p>
      <w:pPr>
        <w:ind w:firstLine="708"/>
        <w:jc w:val="both"/>
        <w:spacing w:line="276" w:lineRule="auto"/>
        <w:tabs>
          <w:tab w:val="left" w:pos="511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Реквизиты счета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организатора торгов, в </w:t>
      </w:r>
      <w:r>
        <w:rPr>
          <w:b/>
          <w:sz w:val="24"/>
          <w:szCs w:val="24"/>
        </w:rPr>
        <w:t xml:space="preserve">т.ч</w:t>
      </w:r>
      <w:r>
        <w:rPr>
          <w:b/>
          <w:sz w:val="24"/>
          <w:szCs w:val="24"/>
        </w:rPr>
        <w:t xml:space="preserve">. для перечисления задатков: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contextualSpacing/>
        <w:ind w:right="46" w:firstLine="709"/>
        <w:jc w:val="both"/>
        <w:spacing w:after="0" w:afterAutospacing="0" w:line="276" w:lineRule="auto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При оплате посредством сервисов банк-клиент либо при запо</w:t>
      </w:r>
      <w:r>
        <w:rPr>
          <w:rFonts w:eastAsiaTheme="minorHAnsi"/>
          <w:b/>
          <w:sz w:val="24"/>
          <w:szCs w:val="24"/>
          <w:lang w:eastAsia="en-US"/>
        </w:rPr>
        <w:t xml:space="preserve">лнении платежного поручения сотрудником банка в поле платежного поручения 22 «Код» обязательно указать код нормативного акта - 0001, иные значения для данного поля не допускаются. При оплате посредством мобильных онлайн сервисов значение 0001 вносится в по</w:t>
      </w:r>
      <w:r>
        <w:rPr>
          <w:rFonts w:eastAsiaTheme="minorHAnsi"/>
          <w:b/>
          <w:sz w:val="24"/>
          <w:szCs w:val="24"/>
          <w:lang w:eastAsia="en-US"/>
        </w:rPr>
        <w:t xml:space="preserve">ле – «Код НПА». В случае не внесения в платежное поручение значения «0001», либо внесение иного значения, платеж не может быть зачислен в оплату задатка, а обязанности участника торгов по внесению задатка не будут считаться исполненными надлежащим образом.</w:t>
      </w:r>
      <w:r>
        <w:rPr>
          <w:rFonts w:eastAsiaTheme="minorHAnsi"/>
          <w:b/>
          <w:sz w:val="24"/>
          <w:szCs w:val="24"/>
          <w:lang w:eastAsia="en-US"/>
        </w:rPr>
      </w:r>
      <w:r>
        <w:rPr>
          <w:rFonts w:eastAsiaTheme="minorHAnsi"/>
          <w:b/>
          <w:sz w:val="24"/>
          <w:szCs w:val="24"/>
          <w:lang w:eastAsia="en-US"/>
        </w:rPr>
      </w:r>
    </w:p>
    <w:p>
      <w:pPr>
        <w:ind w:firstLine="708"/>
        <w:jc w:val="both"/>
        <w:spacing w:line="276" w:lineRule="auto"/>
        <w:tabs>
          <w:tab w:val="left" w:pos="511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УФК по Приморскому краю (ТУ Росимущества в Приморском крае, л/с 05201А21620)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ЕКС (единый казначейский счет)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40102810545370000012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номер казначейского счета </w:t>
      </w:r>
      <w:r>
        <w:rPr>
          <w:sz w:val="24"/>
          <w:szCs w:val="24"/>
        </w:rPr>
        <w:t xml:space="preserve">03212643000000012000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ИНН </w:t>
      </w:r>
      <w:r>
        <w:rPr>
          <w:sz w:val="24"/>
          <w:szCs w:val="24"/>
        </w:rPr>
        <w:t xml:space="preserve">2540155517</w:t>
      </w:r>
      <w:r>
        <w:rPr>
          <w:sz w:val="24"/>
          <w:szCs w:val="24"/>
        </w:rPr>
        <w:t xml:space="preserve">, КПП </w:t>
      </w:r>
      <w:r>
        <w:rPr>
          <w:sz w:val="24"/>
          <w:szCs w:val="24"/>
        </w:rPr>
        <w:t xml:space="preserve">254001001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Банк получателя</w:t>
      </w:r>
      <w:r>
        <w:rPr>
          <w:sz w:val="24"/>
          <w:szCs w:val="24"/>
        </w:rPr>
        <w:t xml:space="preserve">: ОКЦ № 1 ДГУ БАНКА РОССИИ/</w:t>
      </w:r>
      <w:r>
        <w:rPr>
          <w:sz w:val="24"/>
          <w:szCs w:val="24"/>
        </w:rPr>
        <w:t xml:space="preserve">/ УФК по Приморскому краю, г.Владивосток</w:t>
      </w:r>
      <w:r>
        <w:rPr>
          <w:sz w:val="24"/>
          <w:szCs w:val="24"/>
        </w:rPr>
        <w:t xml:space="preserve">, БИК </w:t>
      </w:r>
      <w:r>
        <w:rPr>
          <w:sz w:val="24"/>
          <w:szCs w:val="24"/>
        </w:rPr>
        <w:t xml:space="preserve">010507002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ОКОТМО </w:t>
      </w:r>
      <w:r>
        <w:rPr>
          <w:sz w:val="24"/>
          <w:szCs w:val="24"/>
        </w:rPr>
        <w:t xml:space="preserve">05701000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В поле 22 «Код» платежного поручения указать «0001»</w:t>
      </w:r>
      <w:r>
        <w:rPr>
          <w:sz w:val="24"/>
          <w:szCs w:val="24"/>
        </w:rPr>
        <w:t xml:space="preserve">, КБК-0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76" w:lineRule="auto"/>
        <w:rPr>
          <w:b/>
          <w:sz w:val="6"/>
          <w:szCs w:val="6"/>
          <w:u w:val="single"/>
        </w:rPr>
      </w:pPr>
      <w:r>
        <w:rPr>
          <w:b/>
          <w:sz w:val="6"/>
          <w:szCs w:val="6"/>
          <w:u w:val="single"/>
        </w:rPr>
      </w:r>
      <w:r>
        <w:rPr>
          <w:b/>
          <w:sz w:val="6"/>
          <w:szCs w:val="6"/>
          <w:u w:val="single"/>
        </w:rPr>
      </w:r>
      <w:r>
        <w:rPr>
          <w:b/>
          <w:sz w:val="6"/>
          <w:szCs w:val="6"/>
          <w:u w:val="single"/>
        </w:rPr>
      </w:r>
    </w:p>
    <w:p>
      <w:pPr>
        <w:jc w:val="center"/>
        <w:spacing w:line="276" w:lineRule="auto"/>
        <w:rPr>
          <w:b/>
          <w:sz w:val="6"/>
          <w:szCs w:val="6"/>
          <w:u w:val="single"/>
        </w:rPr>
      </w:pPr>
      <w:r>
        <w:rPr>
          <w:b/>
          <w:sz w:val="6"/>
          <w:szCs w:val="6"/>
          <w:u w:val="single"/>
        </w:rPr>
      </w:r>
      <w:r>
        <w:rPr>
          <w:b/>
          <w:sz w:val="6"/>
          <w:szCs w:val="6"/>
          <w:u w:val="single"/>
        </w:rPr>
      </w:r>
      <w:r>
        <w:rPr>
          <w:b/>
          <w:sz w:val="6"/>
          <w:szCs w:val="6"/>
          <w:u w:val="single"/>
        </w:rPr>
      </w:r>
    </w:p>
    <w:p>
      <w:pPr>
        <w:ind w:firstLine="708"/>
        <w:jc w:val="center"/>
        <w:spacing w:line="276" w:lineRule="auto"/>
        <w:widowControl w:val="off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Торги состоятся</w:t>
      </w:r>
      <w:r>
        <w:rPr>
          <w:b/>
          <w:sz w:val="26"/>
          <w:szCs w:val="26"/>
          <w:u w:val="single"/>
        </w:rPr>
        <w:t xml:space="preserve"> 19 февраля</w:t>
      </w:r>
      <w:r>
        <w:rPr>
          <w:b/>
          <w:sz w:val="26"/>
          <w:szCs w:val="26"/>
          <w:u w:val="single"/>
        </w:rPr>
        <w:t xml:space="preserve"> 2026 г. в </w:t>
      </w:r>
      <w:r>
        <w:rPr>
          <w:b/>
          <w:sz w:val="26"/>
          <w:szCs w:val="26"/>
          <w:u w:val="single"/>
        </w:rPr>
        <w:t xml:space="preserve">11:00 </w:t>
      </w:r>
      <w:r>
        <w:rPr>
          <w:b/>
          <w:sz w:val="26"/>
          <w:szCs w:val="26"/>
          <w:u w:val="single"/>
        </w:rPr>
      </w:r>
      <w:r>
        <w:rPr>
          <w:b/>
          <w:sz w:val="26"/>
          <w:szCs w:val="26"/>
          <w:u w:val="single"/>
        </w:rPr>
      </w:r>
    </w:p>
    <w:p>
      <w:pPr>
        <w:ind w:firstLine="709"/>
        <w:jc w:val="both"/>
        <w:spacing w:line="276" w:lineRule="auto"/>
        <w:widowControl w:val="off"/>
        <w:rPr>
          <w:color w:val="000000" w:themeColor="text1"/>
          <w:sz w:val="24"/>
          <w:szCs w:val="24"/>
          <w14:ligatures w14:val="none"/>
        </w:rPr>
      </w:pPr>
      <w:r>
        <w:rPr>
          <w:b/>
          <w:bCs/>
          <w:color w:val="000000" w:themeColor="text1"/>
          <w:sz w:val="24"/>
          <w:szCs w:val="24"/>
        </w:rPr>
        <w:t xml:space="preserve">Лот № 1 (повторные торги):</w:t>
      </w:r>
      <w:r>
        <w:rPr>
          <w:color w:val="000000" w:themeColor="text1"/>
          <w:sz w:val="24"/>
          <w:szCs w:val="24"/>
        </w:rPr>
        <w:t xml:space="preserve"> на основании постановлений судебных приставов-исполнителей СОСП по г. Москве № 1 ГМУ ФССП России Труниной Олеси Александровны +7(493)246-47-56 от 08.09.2025г. № 98077/25/179782, Ибадуллаевой Самиры Ровшановны от 19.12.2025 № 98077/25/277824 подвергнутое аресту по исполнительному производству от 02.07.2025 г.</w:t>
      </w:r>
      <w:r>
        <w:rPr>
          <w:color w:val="000000" w:themeColor="text1"/>
          <w:sz w:val="24"/>
          <w:szCs w:val="24"/>
        </w:rPr>
        <w:t xml:space="preserve"> № 429972/25/98077-ИП, принадлежащее Фургалу Сергею Ивановичу  имущество, а именно:</w:t>
      </w:r>
      <w:r>
        <w:rPr>
          <w:color w:val="000000" w:themeColor="text1"/>
          <w:sz w:val="24"/>
          <w:szCs w:val="24"/>
        </w:rPr>
      </w:r>
    </w:p>
    <w:p>
      <w:pPr>
        <w:ind w:firstLine="709"/>
        <w:jc w:val="both"/>
        <w:spacing w:line="276" w:lineRule="auto"/>
        <w:widowControl w:val="off"/>
        <w:rPr>
          <w:color w:val="000000" w:themeColor="text1"/>
          <w:sz w:val="24"/>
          <w:szCs w:val="24"/>
          <w14:ligatures w14:val="none"/>
        </w:rPr>
      </w:pPr>
      <w:r>
        <w:rPr>
          <w:color w:val="000000" w:themeColor="text1"/>
          <w:sz w:val="24"/>
          <w:szCs w:val="24"/>
        </w:rPr>
        <w:t xml:space="preserve">- Жилое помещение (квартира) площадью 76,9 кв.м., кадастровый номер 25:28:000000:9255, расположенное по адресу: Приморский край, г. Владивосток, ул. Басаргина, д. 32, кв. 11, вид права - собственность, сведения о правах и ограничениях (обременениях): 10 за</w:t>
      </w:r>
      <w:r>
        <w:rPr>
          <w:color w:val="000000" w:themeColor="text1"/>
          <w:sz w:val="24"/>
          <w:szCs w:val="24"/>
        </w:rPr>
        <w:t xml:space="preserve">писей запрещения регистрации, 2 записи об аресте, по адресу зарегистрировано 1 чел., задолженность по взносам н а кап.ремонт по состоянию на 31.08.2025г составляет 50 555,45 руб., а также пени в размере 50,14 руб., задолженность по коммунальным платежам п</w:t>
      </w:r>
      <w:r>
        <w:rPr>
          <w:color w:val="000000" w:themeColor="text1"/>
          <w:sz w:val="24"/>
          <w:szCs w:val="24"/>
        </w:rPr>
        <w:t xml:space="preserve">о состоянию на 31.08.2025г составляет 132 595,32 руб., а также пени в размере 108,72 руб.</w:t>
      </w:r>
      <w:r>
        <w:rPr>
          <w:color w:val="000000" w:themeColor="text1"/>
          <w:sz w:val="24"/>
          <w:szCs w:val="24"/>
        </w:rPr>
      </w:r>
    </w:p>
    <w:p>
      <w:pPr>
        <w:ind w:firstLine="709"/>
        <w:jc w:val="both"/>
        <w:spacing w:line="276" w:lineRule="auto"/>
        <w:widowControl w:val="off"/>
        <w:rPr>
          <w:color w:val="000000" w:themeColor="text1"/>
          <w:sz w:val="24"/>
          <w:szCs w:val="24"/>
          <w14:ligatures w14:val="none"/>
        </w:rPr>
      </w:pPr>
      <w:r>
        <w:rPr>
          <w:color w:val="000000" w:themeColor="text1"/>
          <w:sz w:val="24"/>
          <w:szCs w:val="24"/>
        </w:rPr>
        <w:t xml:space="preserve">Начальная цена лота – 17124100,00 руб. Задаток – 2568650,00 руб. Шаг аукциона – 171300,00 руб.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  <w14:ligatures w14:val="none"/>
        </w:rPr>
      </w:r>
      <w:r>
        <w:rPr>
          <w:b w:val="0"/>
          <w:bCs w:val="0"/>
          <w:color w:val="000000"/>
          <w:sz w:val="24"/>
          <w:szCs w:val="24"/>
          <w:highlight w:val="none"/>
        </w:rPr>
      </w:r>
      <w:r>
        <w:rPr>
          <w:b w:val="0"/>
          <w:bCs w:val="0"/>
          <w:color w:val="000000"/>
          <w:sz w:val="24"/>
          <w:szCs w:val="24"/>
          <w:highlight w:val="none"/>
        </w:rPr>
      </w:r>
      <w:r>
        <w:rPr>
          <w:b w:val="0"/>
          <w:bCs w:val="0"/>
          <w:color w:val="000000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14:ligatures w14:val="none"/>
        </w:rPr>
      </w:r>
    </w:p>
    <w:p>
      <w:pPr>
        <w:ind w:firstLine="709"/>
        <w:jc w:val="both"/>
        <w:spacing w:line="276" w:lineRule="auto"/>
        <w:widowControl w:val="off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Срок внесения задатка не позднее 12.02.2026</w:t>
      </w:r>
      <w:r>
        <w:rPr>
          <w:color w:val="000000" w:themeColor="text1"/>
          <w:sz w:val="24"/>
          <w:szCs w:val="24"/>
        </w:rPr>
        <w:t xml:space="preserve">г.</w:t>
      </w:r>
      <w:r>
        <w:rPr>
          <w:color w:val="000000" w:themeColor="text1"/>
          <w:sz w:val="24"/>
          <w:szCs w:val="24"/>
        </w:rPr>
        <w:t xml:space="preserve"> </w:t>
      </w:r>
      <w:r>
        <w:rPr>
          <w:bCs/>
          <w:iCs/>
          <w:color w:val="000000" w:themeColor="text1"/>
          <w:sz w:val="24"/>
          <w:szCs w:val="24"/>
        </w:rPr>
        <w:t xml:space="preserve">Заявки на участие в аукционе, подписанные электронной цифровой подписью (ЭЦП), вместе с прилагаемыми к ним документами направляются в электронной форме на сайт </w:t>
      </w:r>
      <w:r>
        <w:rPr>
          <w:bCs/>
          <w:iCs/>
          <w:color w:val="000000" w:themeColor="text1"/>
          <w:sz w:val="24"/>
          <w:szCs w:val="24"/>
        </w:rPr>
        <w:t xml:space="preserve">https://www.sberbank-ast.ru/</w:t>
      </w:r>
      <w:r>
        <w:rPr>
          <w:bCs/>
          <w:iCs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с 20.01.2026</w:t>
      </w:r>
      <w:r>
        <w:rPr>
          <w:color w:val="000000" w:themeColor="text1"/>
          <w:sz w:val="24"/>
          <w:szCs w:val="24"/>
        </w:rPr>
        <w:t xml:space="preserve"> г.</w:t>
      </w:r>
      <w:r>
        <w:rPr>
          <w:bCs/>
          <w:iCs/>
          <w:color w:val="000000" w:themeColor="text1"/>
          <w:sz w:val="24"/>
          <w:szCs w:val="24"/>
        </w:rPr>
        <w:t xml:space="preserve"> с 09</w:t>
      </w:r>
      <w:r>
        <w:rPr>
          <w:bCs/>
          <w:iCs/>
          <w:color w:val="000000" w:themeColor="text1"/>
          <w:sz w:val="24"/>
          <w:szCs w:val="24"/>
        </w:rPr>
        <w:t xml:space="preserve"> ч. 00 мин</w:t>
      </w:r>
      <w:r>
        <w:rPr>
          <w:color w:val="000000" w:themeColor="text1"/>
          <w:sz w:val="24"/>
          <w:szCs w:val="24"/>
        </w:rPr>
        <w:t xml:space="preserve"> по</w:t>
      </w:r>
      <w:r>
        <w:rPr>
          <w:color w:val="000000" w:themeColor="text1"/>
          <w:sz w:val="24"/>
          <w:szCs w:val="24"/>
        </w:rPr>
        <w:t xml:space="preserve"> 12.02.2026 </w:t>
      </w:r>
      <w:r>
        <w:rPr>
          <w:color w:val="000000" w:themeColor="text1"/>
          <w:sz w:val="24"/>
          <w:szCs w:val="24"/>
        </w:rPr>
        <w:t xml:space="preserve">г. </w:t>
      </w:r>
      <w:r>
        <w:rPr>
          <w:bCs/>
          <w:iCs/>
          <w:color w:val="000000" w:themeColor="text1"/>
          <w:sz w:val="24"/>
          <w:szCs w:val="24"/>
        </w:rPr>
        <w:t xml:space="preserve">до 23 ч. 59 мин.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spacing w:line="276" w:lineRule="auto"/>
        <w:widowControl w:val="off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Подведение итогов приема заявок: 18.02.2026</w:t>
      </w:r>
      <w:r>
        <w:rPr>
          <w:color w:val="000000" w:themeColor="text1"/>
          <w:sz w:val="24"/>
          <w:szCs w:val="24"/>
        </w:rPr>
        <w:t xml:space="preserve">г. Подведение результатов торгов: 19.02.2026</w:t>
      </w:r>
      <w:r>
        <w:rPr>
          <w:color w:val="000000" w:themeColor="text1"/>
          <w:sz w:val="24"/>
          <w:szCs w:val="24"/>
        </w:rPr>
        <w:t xml:space="preserve">г. после проведения аукциона.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spacing w:line="276" w:lineRule="auto"/>
        <w:widowControl w:val="off"/>
        <w:rPr>
          <w:color w:val="0000ff"/>
          <w:sz w:val="24"/>
          <w:szCs w:val="24"/>
          <w:u w:val="single"/>
        </w:rPr>
      </w:pPr>
      <w:r>
        <w:rPr>
          <w:sz w:val="24"/>
          <w:szCs w:val="24"/>
        </w:rPr>
        <w:t xml:space="preserve">В день проведения торгов Победитель торгов подписывает протокол подведения итогов торгов на бумажном носителе, который не позднее следующего дня размещается на официальном сайте Российской Федерации </w:t>
      </w:r>
      <w:r>
        <w:rPr>
          <w:color w:val="0000ff"/>
          <w:sz w:val="24"/>
          <w:szCs w:val="24"/>
          <w:u w:val="single"/>
        </w:rPr>
        <w:t xml:space="preserve">https://torgi.gov.ru/new. </w:t>
      </w:r>
      <w:r>
        <w:rPr>
          <w:color w:val="0000ff"/>
          <w:sz w:val="24"/>
          <w:szCs w:val="24"/>
          <w:u w:val="single"/>
        </w:rPr>
      </w:r>
      <w:r>
        <w:rPr>
          <w:color w:val="0000ff"/>
          <w:sz w:val="24"/>
          <w:szCs w:val="24"/>
          <w:u w:val="single"/>
        </w:rPr>
      </w:r>
    </w:p>
    <w:p>
      <w:pPr>
        <w:ind w:firstLine="708"/>
        <w:jc w:val="both"/>
        <w:spacing w:line="276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В случае отмены торгов, до рассмотрения заявок, лицу, подавшему заявку необходимо подать заявление в ТУ Росимущества, содержащее реквизиты для возврата задатка и платежное поручение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7"/>
        <w:ind w:firstLine="709"/>
        <w:spacing w:line="276" w:lineRule="auto"/>
        <w:rPr>
          <w:b/>
          <w:szCs w:val="24"/>
        </w:rPr>
      </w:pPr>
      <w:r>
        <w:rPr>
          <w:b/>
          <w:szCs w:val="24"/>
        </w:rPr>
        <w:t xml:space="preserve">Для участия в торгах необходимо</w:t>
      </w:r>
      <w:r>
        <w:rPr>
          <w:b/>
          <w:szCs w:val="24"/>
          <w:lang w:val="ru-RU"/>
        </w:rPr>
        <w:t xml:space="preserve">:</w:t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847"/>
        <w:numPr>
          <w:ilvl w:val="0"/>
          <w:numId w:val="7"/>
        </w:numPr>
        <w:ind w:left="0" w:firstLine="360"/>
        <w:spacing w:line="276" w:lineRule="auto"/>
        <w:tabs>
          <w:tab w:val="left" w:pos="0" w:leader="none"/>
          <w:tab w:val="left" w:pos="284" w:leader="none"/>
        </w:tabs>
        <w:rPr>
          <w:szCs w:val="24"/>
        </w:rPr>
      </w:pPr>
      <w:r>
        <w:rPr>
          <w:szCs w:val="24"/>
          <w:lang w:val="ru-RU"/>
        </w:rPr>
        <w:t xml:space="preserve">Внести задаток на счет организатора торгов в срок, в размере и по реквизитам, указанным в объявлении. В назначении платежа указать: </w:t>
      </w:r>
      <w:r>
        <w:rPr>
          <w:szCs w:val="24"/>
          <w:lang w:val="ru-RU"/>
        </w:rPr>
        <w:t xml:space="preserve">дату </w:t>
      </w:r>
      <w:r>
        <w:rPr>
          <w:szCs w:val="24"/>
        </w:rPr>
        <w:t xml:space="preserve">аукциона</w:t>
      </w:r>
      <w:r>
        <w:rPr>
          <w:szCs w:val="24"/>
          <w:lang w:val="ru-RU"/>
        </w:rPr>
        <w:t xml:space="preserve">, номер лота, краткое наименование имущества.</w:t>
      </w:r>
      <w:r>
        <w:rPr>
          <w:szCs w:val="24"/>
        </w:rPr>
      </w:r>
      <w:r>
        <w:rPr>
          <w:szCs w:val="24"/>
        </w:rPr>
      </w:r>
    </w:p>
    <w:p>
      <w:pPr>
        <w:pStyle w:val="854"/>
        <w:numPr>
          <w:ilvl w:val="0"/>
          <w:numId w:val="7"/>
        </w:numPr>
        <w:ind w:left="0" w:firstLine="360"/>
        <w:jc w:val="both"/>
        <w:spacing w:line="276" w:lineRule="auto"/>
        <w:tabs>
          <w:tab w:val="left" w:pos="70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Подать заявку по установленной форме лицу. Одно лицо вправе подать одну заявку в отношении одного лота. Заявки на участие в аукционе, подписанные электронной цифровой подписью (ЭЦП), вместе с прилагаемыми к ним документами направляются в</w:t>
      </w:r>
      <w:r>
        <w:rPr>
          <w:sz w:val="24"/>
          <w:szCs w:val="24"/>
        </w:rPr>
        <w:t xml:space="preserve"> электронной форме на сайт </w:t>
      </w:r>
      <w:r>
        <w:rPr>
          <w:sz w:val="24"/>
          <w:szCs w:val="24"/>
        </w:rPr>
        <w:t xml:space="preserve">https://www.sberbank-ast.ru/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ind w:left="0" w:firstLine="360"/>
        <w:jc w:val="both"/>
        <w:spacing w:line="276" w:lineRule="auto"/>
        <w:tabs>
          <w:tab w:val="left" w:pos="70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 заявке прилагаются: платежный документ о внесении задатка; доверенность на лицо, имеющее право действовать от имени претендента; заявление, содержащее реквизиты для возврата задатка, подписанное претендентом.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numPr>
          <w:ilvl w:val="0"/>
          <w:numId w:val="0"/>
        </w:numPr>
        <w:ind w:firstLine="709"/>
        <w:jc w:val="both"/>
        <w:spacing w:line="276" w:lineRule="auto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Дополнительно: для юридических лиц ‒ заверенные копии учредительных документов и свидетельства о государственной регистрации; заверенные копии документов, подтверждающие полномочия органов управления претендента; доверенность</w:t>
      </w:r>
      <w:r>
        <w:rPr>
          <w:sz w:val="24"/>
          <w:szCs w:val="24"/>
        </w:rPr>
        <w:t xml:space="preserve"> на имя представителя; письменное решение органа управления претендента разрешающее приобретение имущества, если это необходимо в соответствии с учредительными документами, либо справка за подписью главного бухгалтера и руководителя претен</w:t>
      </w:r>
      <w:r>
        <w:rPr>
          <w:sz w:val="24"/>
          <w:szCs w:val="24"/>
        </w:rPr>
        <w:t xml:space="preserve">дента о том, что разрешение органов управления на приобретение имущества не требуется; выписка из торгового реестра страны происхождения или иное эквивалентное доказательство юридического статуса для юридических лиц - нерезидентов РФ; для физических лиц ‒ </w:t>
      </w:r>
      <w:r>
        <w:rPr>
          <w:sz w:val="24"/>
          <w:szCs w:val="24"/>
        </w:rPr>
        <w:t xml:space="preserve">копии всех страниц </w:t>
      </w:r>
      <w:r>
        <w:rPr>
          <w:sz w:val="24"/>
          <w:szCs w:val="24"/>
        </w:rPr>
        <w:t xml:space="preserve">паспорт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или заменяющий его документ.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numPr>
          <w:ilvl w:val="0"/>
          <w:numId w:val="0"/>
        </w:numPr>
        <w:jc w:val="both"/>
        <w:spacing w:line="276" w:lineRule="auto"/>
        <w:tabs>
          <w:tab w:val="left" w:pos="708" w:leader="none"/>
        </w:tabs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Претенденты не допускаются к участию в торгах в случае нарушения порядка оформления участия в них и на основании законодательства РФ.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47"/>
        <w:ind w:firstLine="709"/>
        <w:spacing w:line="276" w:lineRule="auto"/>
        <w:rPr>
          <w:bCs/>
          <w:szCs w:val="24"/>
          <w:lang w:val="ru-RU"/>
        </w:rPr>
      </w:pPr>
      <w:r>
        <w:rPr>
          <w:b/>
          <w:szCs w:val="24"/>
          <w:lang w:val="ru-RU"/>
        </w:rPr>
        <w:t xml:space="preserve">Порядок проведения торгов: </w:t>
      </w:r>
      <w:r>
        <w:rPr>
          <w:bCs/>
          <w:szCs w:val="24"/>
          <w:lang w:val="ru-RU"/>
        </w:rPr>
        <w:t xml:space="preserve">Торги проводятся на электронной торговой площадке, находящейся в сети интернет по адресу </w:t>
      </w:r>
      <w:r>
        <w:rPr>
          <w:bCs/>
          <w:szCs w:val="24"/>
          <w:lang w:val="ru-RU"/>
        </w:rPr>
        <w:t xml:space="preserve">https://www.sberbank-ast.ru/</w:t>
      </w:r>
      <w:r>
        <w:rPr>
          <w:bCs/>
          <w:szCs w:val="24"/>
          <w:lang w:val="ru-RU"/>
        </w:rPr>
        <w:t xml:space="preserve">, в соответствии со ст. 87, 89 ФЗ «Об исполнительном производстве» от 2 октября 2007 г. № 229-ФЗ; ст. 447-449 ГК РФ, регламентом электронной торговой площадки.</w:t>
      </w:r>
      <w:r>
        <w:rPr>
          <w:bCs/>
          <w:szCs w:val="24"/>
          <w:lang w:val="ru-RU"/>
        </w:rPr>
      </w:r>
      <w:r>
        <w:rPr>
          <w:bCs/>
          <w:szCs w:val="24"/>
          <w:lang w:val="ru-RU"/>
        </w:rPr>
      </w:r>
    </w:p>
    <w:p>
      <w:pPr>
        <w:pStyle w:val="847"/>
        <w:ind w:firstLine="709"/>
        <w:spacing w:line="276" w:lineRule="auto"/>
        <w:rPr>
          <w:szCs w:val="24"/>
        </w:rPr>
      </w:pPr>
      <w:r>
        <w:rPr>
          <w:b/>
          <w:szCs w:val="24"/>
        </w:rPr>
        <w:t xml:space="preserve">Условия договора купли-продажи:</w:t>
      </w:r>
      <w:r>
        <w:rPr>
          <w:szCs w:val="24"/>
        </w:rPr>
        <w:t xml:space="preserve"> проект договора опубликован на официальном сайте Российской Федерации для размещения информации о проведении торгов  </w:t>
      </w:r>
      <w:r>
        <w:rPr>
          <w:color w:val="0000ff"/>
          <w:szCs w:val="24"/>
          <w:u w:val="single"/>
          <w:lang w:val="ru-RU"/>
        </w:rPr>
        <w:t xml:space="preserve">https://torgi.gov.ru/new.</w:t>
      </w:r>
      <w:r>
        <w:rPr>
          <w:szCs w:val="24"/>
        </w:rPr>
        <w:t xml:space="preserve"> </w:t>
      </w:r>
      <w:r>
        <w:rPr>
          <w:b/>
          <w:szCs w:val="24"/>
        </w:rPr>
        <w:t xml:space="preserve">Срок заключения договора:</w:t>
      </w:r>
      <w:r>
        <w:rPr>
          <w:szCs w:val="24"/>
        </w:rPr>
        <w:t xml:space="preserve"> договор заключается не ранее чем через десять дней со дня подписания протокола о результатах торгов.</w:t>
      </w:r>
      <w:r>
        <w:rPr>
          <w:szCs w:val="24"/>
        </w:rPr>
      </w:r>
      <w:r>
        <w:rPr>
          <w:szCs w:val="24"/>
        </w:rPr>
      </w:r>
    </w:p>
    <w:p>
      <w:pPr>
        <w:ind w:firstLine="53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Предмет договора: наименование и характеристики имущества, приобретенного на торгах.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3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Стоимость имущества и порядок оплаты: стоимость имущества формируется по итогам торгов. Победитель торгов должен оплатить стоимость имущества (за вычетом суммы задатка) на счет продавца в течение 5 дней после окончания торгов. </w:t>
      </w:r>
      <w:r>
        <w:rPr>
          <w:sz w:val="24"/>
          <w:szCs w:val="24"/>
        </w:rPr>
        <w:t xml:space="preserve">Обязательства по договору должны быть исполнены победителем торгов лично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 невнесении этой суммы задаток не возвращается. Факт оплаты удостоверяется выпиской со счета Продавца.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39"/>
        <w:jc w:val="both"/>
        <w:spacing w:line="276" w:lineRule="auto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Порядок передачи правоустанавливающих документов н</w:t>
      </w:r>
      <w:r>
        <w:rPr>
          <w:sz w:val="24"/>
          <w:szCs w:val="24"/>
        </w:rPr>
        <w:t xml:space="preserve">а имущество по месту нахождения ТУ Росимущества. Порядок передачи  имущества: по месту его нахождения территориальным органом ФССП России по Приморскому краю по акту приёма-передачи имущества или иному документу о передаче, в течение 5 рабочих дней со дня </w:t>
      </w:r>
      <w:r>
        <w:rPr>
          <w:sz w:val="24"/>
          <w:szCs w:val="24"/>
        </w:rPr>
        <w:t xml:space="preserve">поступления денежных средств на депозитный счет территориального органа</w:t>
      </w:r>
      <w:r>
        <w:rPr>
          <w:color w:val="ff000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ФССП России по Приморскому краю</w:t>
      </w:r>
      <w:r>
        <w:rPr>
          <w:color w:val="000000" w:themeColor="text1"/>
          <w:sz w:val="24"/>
          <w:szCs w:val="24"/>
        </w:rPr>
        <w:t xml:space="preserve">.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540"/>
        <w:jc w:val="both"/>
        <w:spacing w:line="276" w:lineRule="auto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Переход права собственности </w:t>
      </w:r>
      <w:r>
        <w:rPr>
          <w:rFonts w:eastAsiaTheme="minorHAnsi"/>
          <w:sz w:val="24"/>
          <w:szCs w:val="24"/>
          <w:lang w:eastAsia="en-US"/>
        </w:rPr>
        <w:t xml:space="preserve">на недвижимое имущество: с момента государственной регистрации, р</w:t>
      </w:r>
      <w:r>
        <w:rPr>
          <w:sz w:val="24"/>
          <w:szCs w:val="24"/>
        </w:rPr>
        <w:t xml:space="preserve">асходы по оформлению перехода права собствен</w:t>
      </w:r>
      <w:r>
        <w:rPr>
          <w:sz w:val="24"/>
          <w:szCs w:val="24"/>
        </w:rPr>
        <w:t xml:space="preserve">ности несет Покупатель.</w:t>
      </w:r>
      <w:r>
        <w:rPr>
          <w:rFonts w:eastAsiaTheme="minorHAnsi"/>
          <w:sz w:val="24"/>
          <w:szCs w:val="24"/>
          <w:lang w:eastAsia="en-US"/>
        </w:rPr>
      </w:r>
      <w:r>
        <w:rPr>
          <w:rFonts w:eastAsiaTheme="minorHAnsi"/>
          <w:sz w:val="24"/>
          <w:szCs w:val="24"/>
          <w:lang w:eastAsia="en-US"/>
        </w:rPr>
      </w:r>
    </w:p>
    <w:p>
      <w:pPr>
        <w:ind w:firstLine="540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Ответственность сторон: в случае уклонения Покупателя от фактического принятия Имущества он уплачивает Продавцу неустойку в размере 0,1% от общей стоимости Имущества за каждый день просрочки, но не более 10 % от этой стоимости.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Особые условия: имущество возврату не подлежит. Продавец </w:t>
      </w:r>
      <w:r>
        <w:rPr>
          <w:sz w:val="24"/>
          <w:szCs w:val="24"/>
        </w:rPr>
        <w:t xml:space="preserve">не несет ответственности за качество проданного Имущества. Условия договора могут быть изменены сторонами, если это изменение не влияет на условия договора, имевшие существенное значение для определения цены на торгах, в иных случая, установленных законом.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line="276" w:lineRule="auto"/>
        <w:rPr>
          <w:b/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</w:rPr>
        <w:t xml:space="preserve">Ознакомиться с информацией о предмете торгов и порядке их проведения, можно на сайте </w:t>
      </w:r>
      <w:r>
        <w:rPr>
          <w:color w:val="000000" w:themeColor="text1"/>
          <w:sz w:val="24"/>
          <w:szCs w:val="24"/>
        </w:rPr>
        <w:t xml:space="preserve">https://www.sberbank-ast.ru/</w:t>
      </w:r>
      <w:r>
        <w:rPr>
          <w:color w:val="000000" w:themeColor="text1"/>
          <w:sz w:val="24"/>
          <w:szCs w:val="24"/>
        </w:rPr>
        <w:t xml:space="preserve"> и в ТУ Росимущества по Приморскому краю по адресу: Приморский край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г. Владивосток, ул. Пологая, д. 21, </w:t>
      </w:r>
      <w:r>
        <w:rPr>
          <w:color w:val="000000" w:themeColor="text1"/>
          <w:sz w:val="24"/>
          <w:szCs w:val="24"/>
        </w:rPr>
        <w:t xml:space="preserve">каб</w:t>
      </w:r>
      <w:r>
        <w:rPr>
          <w:color w:val="000000" w:themeColor="text1"/>
          <w:sz w:val="24"/>
          <w:szCs w:val="24"/>
        </w:rPr>
        <w:t xml:space="preserve">. 215А по рабочим дням с 11:00 до 12:45 и с 14:00 до 18:00, телефон: (423) 243-27-31</w:t>
      </w:r>
      <w:r>
        <w:rPr>
          <w:color w:val="000000" w:themeColor="text1"/>
          <w:sz w:val="24"/>
          <w:szCs w:val="24"/>
        </w:rPr>
        <w:t xml:space="preserve"> (предварительная запись). Фото и видео фиксация документов исполнительного производства запрещена.</w:t>
      </w:r>
      <w:r>
        <w:rPr>
          <w:color w:val="000000" w:themeColor="text1"/>
          <w:sz w:val="24"/>
          <w:szCs w:val="24"/>
        </w:rPr>
        <w:t xml:space="preserve"> С имуществом можно ознакомиться самостоятельно по месту его нахождения.</w:t>
      </w:r>
      <w:r>
        <w:rPr>
          <w:b/>
          <w:color w:val="000000" w:themeColor="text1"/>
          <w:sz w:val="24"/>
          <w:szCs w:val="24"/>
          <w:u w:val="single"/>
        </w:rPr>
      </w:r>
      <w:r>
        <w:rPr>
          <w:b/>
          <w:color w:val="000000" w:themeColor="text1"/>
          <w:sz w:val="24"/>
          <w:szCs w:val="24"/>
          <w:u w:val="single"/>
        </w:rPr>
      </w:r>
    </w:p>
    <w:sectPr>
      <w:footnotePr/>
      <w:endnotePr/>
      <w:type w:val="nextPage"/>
      <w:pgSz w:w="11906" w:h="16838" w:orient="portrait"/>
      <w:pgMar w:top="567" w:right="765" w:bottom="567" w:left="119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850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7">
    <w:name w:val="Heading 1"/>
    <w:basedOn w:val="843"/>
    <w:next w:val="843"/>
    <w:link w:val="66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8">
    <w:name w:val="Heading 1 Char"/>
    <w:basedOn w:val="844"/>
    <w:link w:val="667"/>
    <w:uiPriority w:val="9"/>
    <w:rPr>
      <w:rFonts w:ascii="Arial" w:hAnsi="Arial" w:eastAsia="Arial" w:cs="Arial"/>
      <w:sz w:val="40"/>
      <w:szCs w:val="40"/>
    </w:rPr>
  </w:style>
  <w:style w:type="paragraph" w:styleId="669">
    <w:name w:val="Heading 2"/>
    <w:basedOn w:val="843"/>
    <w:next w:val="843"/>
    <w:link w:val="67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0">
    <w:name w:val="Heading 2 Char"/>
    <w:basedOn w:val="844"/>
    <w:link w:val="669"/>
    <w:uiPriority w:val="9"/>
    <w:rPr>
      <w:rFonts w:ascii="Arial" w:hAnsi="Arial" w:eastAsia="Arial" w:cs="Arial"/>
      <w:sz w:val="34"/>
    </w:rPr>
  </w:style>
  <w:style w:type="paragraph" w:styleId="671">
    <w:name w:val="Heading 3"/>
    <w:basedOn w:val="843"/>
    <w:next w:val="843"/>
    <w:link w:val="67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2">
    <w:name w:val="Heading 3 Char"/>
    <w:basedOn w:val="844"/>
    <w:link w:val="671"/>
    <w:uiPriority w:val="9"/>
    <w:rPr>
      <w:rFonts w:ascii="Arial" w:hAnsi="Arial" w:eastAsia="Arial" w:cs="Arial"/>
      <w:sz w:val="30"/>
      <w:szCs w:val="30"/>
    </w:rPr>
  </w:style>
  <w:style w:type="paragraph" w:styleId="673">
    <w:name w:val="Heading 4"/>
    <w:basedOn w:val="843"/>
    <w:next w:val="843"/>
    <w:link w:val="67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4">
    <w:name w:val="Heading 4 Char"/>
    <w:basedOn w:val="844"/>
    <w:link w:val="673"/>
    <w:uiPriority w:val="9"/>
    <w:rPr>
      <w:rFonts w:ascii="Arial" w:hAnsi="Arial" w:eastAsia="Arial" w:cs="Arial"/>
      <w:b/>
      <w:bCs/>
      <w:sz w:val="26"/>
      <w:szCs w:val="26"/>
    </w:rPr>
  </w:style>
  <w:style w:type="paragraph" w:styleId="675">
    <w:name w:val="Heading 5"/>
    <w:basedOn w:val="843"/>
    <w:next w:val="843"/>
    <w:link w:val="67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6">
    <w:name w:val="Heading 5 Char"/>
    <w:basedOn w:val="844"/>
    <w:link w:val="675"/>
    <w:uiPriority w:val="9"/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843"/>
    <w:next w:val="843"/>
    <w:link w:val="67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8">
    <w:name w:val="Heading 6 Char"/>
    <w:basedOn w:val="844"/>
    <w:link w:val="677"/>
    <w:uiPriority w:val="9"/>
    <w:rPr>
      <w:rFonts w:ascii="Arial" w:hAnsi="Arial" w:eastAsia="Arial" w:cs="Arial"/>
      <w:b/>
      <w:bCs/>
      <w:sz w:val="22"/>
      <w:szCs w:val="22"/>
    </w:rPr>
  </w:style>
  <w:style w:type="paragraph" w:styleId="679">
    <w:name w:val="Heading 7"/>
    <w:basedOn w:val="843"/>
    <w:next w:val="843"/>
    <w:link w:val="6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0">
    <w:name w:val="Heading 7 Char"/>
    <w:basedOn w:val="844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1">
    <w:name w:val="Heading 8"/>
    <w:basedOn w:val="843"/>
    <w:next w:val="843"/>
    <w:link w:val="68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2">
    <w:name w:val="Heading 8 Char"/>
    <w:basedOn w:val="844"/>
    <w:link w:val="681"/>
    <w:uiPriority w:val="9"/>
    <w:rPr>
      <w:rFonts w:ascii="Arial" w:hAnsi="Arial" w:eastAsia="Arial" w:cs="Arial"/>
      <w:i/>
      <w:iCs/>
      <w:sz w:val="22"/>
      <w:szCs w:val="22"/>
    </w:rPr>
  </w:style>
  <w:style w:type="paragraph" w:styleId="683">
    <w:name w:val="Heading 9"/>
    <w:basedOn w:val="843"/>
    <w:next w:val="843"/>
    <w:link w:val="68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4">
    <w:name w:val="Heading 9 Char"/>
    <w:basedOn w:val="844"/>
    <w:link w:val="683"/>
    <w:uiPriority w:val="9"/>
    <w:rPr>
      <w:rFonts w:ascii="Arial" w:hAnsi="Arial" w:eastAsia="Arial" w:cs="Arial"/>
      <w:i/>
      <w:iCs/>
      <w:sz w:val="21"/>
      <w:szCs w:val="21"/>
    </w:rPr>
  </w:style>
  <w:style w:type="paragraph" w:styleId="685">
    <w:name w:val="No Spacing"/>
    <w:uiPriority w:val="1"/>
    <w:qFormat/>
    <w:pPr>
      <w:spacing w:before="0" w:after="0" w:line="240" w:lineRule="auto"/>
    </w:pPr>
  </w:style>
  <w:style w:type="paragraph" w:styleId="686">
    <w:name w:val="Title"/>
    <w:basedOn w:val="843"/>
    <w:next w:val="843"/>
    <w:link w:val="6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7">
    <w:name w:val="Title Char"/>
    <w:basedOn w:val="844"/>
    <w:link w:val="686"/>
    <w:uiPriority w:val="10"/>
    <w:rPr>
      <w:sz w:val="48"/>
      <w:szCs w:val="48"/>
    </w:rPr>
  </w:style>
  <w:style w:type="paragraph" w:styleId="688">
    <w:name w:val="Subtitle"/>
    <w:basedOn w:val="843"/>
    <w:next w:val="843"/>
    <w:link w:val="689"/>
    <w:uiPriority w:val="11"/>
    <w:qFormat/>
    <w:pPr>
      <w:spacing w:before="200" w:after="200"/>
    </w:pPr>
    <w:rPr>
      <w:sz w:val="24"/>
      <w:szCs w:val="24"/>
    </w:rPr>
  </w:style>
  <w:style w:type="character" w:styleId="689">
    <w:name w:val="Subtitle Char"/>
    <w:basedOn w:val="844"/>
    <w:link w:val="688"/>
    <w:uiPriority w:val="11"/>
    <w:rPr>
      <w:sz w:val="24"/>
      <w:szCs w:val="24"/>
    </w:rPr>
  </w:style>
  <w:style w:type="paragraph" w:styleId="690">
    <w:name w:val="Quote"/>
    <w:basedOn w:val="843"/>
    <w:next w:val="843"/>
    <w:link w:val="691"/>
    <w:uiPriority w:val="29"/>
    <w:qFormat/>
    <w:pPr>
      <w:ind w:left="720" w:right="720"/>
    </w:pPr>
    <w:rPr>
      <w:i/>
    </w:rPr>
  </w:style>
  <w:style w:type="character" w:styleId="691">
    <w:name w:val="Quote Char"/>
    <w:link w:val="690"/>
    <w:uiPriority w:val="29"/>
    <w:rPr>
      <w:i/>
    </w:rPr>
  </w:style>
  <w:style w:type="paragraph" w:styleId="692">
    <w:name w:val="Intense Quote"/>
    <w:basedOn w:val="843"/>
    <w:next w:val="843"/>
    <w:link w:val="69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3">
    <w:name w:val="Intense Quote Char"/>
    <w:link w:val="692"/>
    <w:uiPriority w:val="30"/>
    <w:rPr>
      <w:i/>
    </w:rPr>
  </w:style>
  <w:style w:type="paragraph" w:styleId="694">
    <w:name w:val="Header"/>
    <w:basedOn w:val="843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Header Char"/>
    <w:basedOn w:val="844"/>
    <w:link w:val="694"/>
    <w:uiPriority w:val="99"/>
  </w:style>
  <w:style w:type="paragraph" w:styleId="696">
    <w:name w:val="Footer"/>
    <w:basedOn w:val="843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Footer Char"/>
    <w:basedOn w:val="844"/>
    <w:link w:val="696"/>
    <w:uiPriority w:val="99"/>
  </w:style>
  <w:style w:type="paragraph" w:styleId="698">
    <w:name w:val="Caption"/>
    <w:basedOn w:val="843"/>
    <w:next w:val="843"/>
    <w:link w:val="6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9">
    <w:name w:val="Caption Char"/>
    <w:basedOn w:val="844"/>
    <w:link w:val="698"/>
    <w:uiPriority w:val="35"/>
    <w:rPr>
      <w:b/>
      <w:bCs/>
      <w:color w:val="4f81bd" w:themeColor="accent1"/>
      <w:sz w:val="18"/>
      <w:szCs w:val="18"/>
    </w:rPr>
  </w:style>
  <w:style w:type="table" w:styleId="700">
    <w:name w:val="Table Grid"/>
    <w:basedOn w:val="8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Table Grid Light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0">
    <w:name w:val="List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1">
    <w:name w:val="List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2">
    <w:name w:val="List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3">
    <w:name w:val="List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4">
    <w:name w:val="List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5">
    <w:name w:val="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 &amp; 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Bordered &amp; 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Bordered &amp; 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Bordered &amp; 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Bordered &amp; 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Bordered &amp; 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6">
    <w:name w:val="footnote text"/>
    <w:basedOn w:val="843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>
    <w:name w:val="Footnote Text Char"/>
    <w:link w:val="826"/>
    <w:uiPriority w:val="99"/>
    <w:rPr>
      <w:sz w:val="18"/>
    </w:rPr>
  </w:style>
  <w:style w:type="character" w:styleId="828">
    <w:name w:val="footnote reference"/>
    <w:basedOn w:val="844"/>
    <w:uiPriority w:val="99"/>
    <w:unhideWhenUsed/>
    <w:rPr>
      <w:vertAlign w:val="superscript"/>
    </w:rPr>
  </w:style>
  <w:style w:type="paragraph" w:styleId="829">
    <w:name w:val="endnote text"/>
    <w:basedOn w:val="843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>
    <w:name w:val="Endnote Text Char"/>
    <w:link w:val="829"/>
    <w:uiPriority w:val="99"/>
    <w:rPr>
      <w:sz w:val="20"/>
    </w:rPr>
  </w:style>
  <w:style w:type="character" w:styleId="831">
    <w:name w:val="endnote reference"/>
    <w:basedOn w:val="844"/>
    <w:uiPriority w:val="99"/>
    <w:semiHidden/>
    <w:unhideWhenUsed/>
    <w:rPr>
      <w:vertAlign w:val="superscript"/>
    </w:rPr>
  </w:style>
  <w:style w:type="paragraph" w:styleId="832">
    <w:name w:val="toc 1"/>
    <w:basedOn w:val="843"/>
    <w:next w:val="843"/>
    <w:uiPriority w:val="39"/>
    <w:unhideWhenUsed/>
    <w:pPr>
      <w:ind w:left="0" w:right="0" w:firstLine="0"/>
      <w:spacing w:after="57"/>
    </w:pPr>
  </w:style>
  <w:style w:type="paragraph" w:styleId="833">
    <w:name w:val="toc 2"/>
    <w:basedOn w:val="843"/>
    <w:next w:val="843"/>
    <w:uiPriority w:val="39"/>
    <w:unhideWhenUsed/>
    <w:pPr>
      <w:ind w:left="283" w:right="0" w:firstLine="0"/>
      <w:spacing w:after="57"/>
    </w:pPr>
  </w:style>
  <w:style w:type="paragraph" w:styleId="834">
    <w:name w:val="toc 3"/>
    <w:basedOn w:val="843"/>
    <w:next w:val="843"/>
    <w:uiPriority w:val="39"/>
    <w:unhideWhenUsed/>
    <w:pPr>
      <w:ind w:left="567" w:right="0" w:firstLine="0"/>
      <w:spacing w:after="57"/>
    </w:pPr>
  </w:style>
  <w:style w:type="paragraph" w:styleId="835">
    <w:name w:val="toc 4"/>
    <w:basedOn w:val="843"/>
    <w:next w:val="843"/>
    <w:uiPriority w:val="39"/>
    <w:unhideWhenUsed/>
    <w:pPr>
      <w:ind w:left="850" w:right="0" w:firstLine="0"/>
      <w:spacing w:after="57"/>
    </w:pPr>
  </w:style>
  <w:style w:type="paragraph" w:styleId="836">
    <w:name w:val="toc 5"/>
    <w:basedOn w:val="843"/>
    <w:next w:val="843"/>
    <w:uiPriority w:val="39"/>
    <w:unhideWhenUsed/>
    <w:pPr>
      <w:ind w:left="1134" w:right="0" w:firstLine="0"/>
      <w:spacing w:after="57"/>
    </w:pPr>
  </w:style>
  <w:style w:type="paragraph" w:styleId="837">
    <w:name w:val="toc 6"/>
    <w:basedOn w:val="843"/>
    <w:next w:val="843"/>
    <w:uiPriority w:val="39"/>
    <w:unhideWhenUsed/>
    <w:pPr>
      <w:ind w:left="1417" w:right="0" w:firstLine="0"/>
      <w:spacing w:after="57"/>
    </w:pPr>
  </w:style>
  <w:style w:type="paragraph" w:styleId="838">
    <w:name w:val="toc 7"/>
    <w:basedOn w:val="843"/>
    <w:next w:val="843"/>
    <w:uiPriority w:val="39"/>
    <w:unhideWhenUsed/>
    <w:pPr>
      <w:ind w:left="1701" w:right="0" w:firstLine="0"/>
      <w:spacing w:after="57"/>
    </w:pPr>
  </w:style>
  <w:style w:type="paragraph" w:styleId="839">
    <w:name w:val="toc 8"/>
    <w:basedOn w:val="843"/>
    <w:next w:val="843"/>
    <w:uiPriority w:val="39"/>
    <w:unhideWhenUsed/>
    <w:pPr>
      <w:ind w:left="1984" w:right="0" w:firstLine="0"/>
      <w:spacing w:after="57"/>
    </w:pPr>
  </w:style>
  <w:style w:type="paragraph" w:styleId="840">
    <w:name w:val="toc 9"/>
    <w:basedOn w:val="843"/>
    <w:next w:val="843"/>
    <w:uiPriority w:val="39"/>
    <w:unhideWhenUsed/>
    <w:pPr>
      <w:ind w:left="2268" w:right="0" w:firstLine="0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843"/>
    <w:next w:val="843"/>
    <w:uiPriority w:val="99"/>
    <w:unhideWhenUsed/>
    <w:pPr>
      <w:spacing w:after="0" w:afterAutospacing="0"/>
    </w:pPr>
  </w:style>
  <w:style w:type="paragraph" w:styleId="84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44" w:default="1">
    <w:name w:val="Default Paragraph Font"/>
    <w:uiPriority w:val="1"/>
    <w:semiHidden/>
    <w:unhideWhenUsed/>
  </w:style>
  <w:style w:type="table" w:styleId="8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6" w:default="1">
    <w:name w:val="No List"/>
    <w:uiPriority w:val="99"/>
    <w:semiHidden/>
    <w:unhideWhenUsed/>
  </w:style>
  <w:style w:type="paragraph" w:styleId="847">
    <w:name w:val="Body Text"/>
    <w:basedOn w:val="843"/>
    <w:link w:val="848"/>
    <w:pPr>
      <w:jc w:val="both"/>
    </w:pPr>
    <w:rPr>
      <w:sz w:val="24"/>
    </w:rPr>
  </w:style>
  <w:style w:type="character" w:styleId="848" w:customStyle="1">
    <w:name w:val="Основной текст Знак"/>
    <w:basedOn w:val="844"/>
    <w:link w:val="847"/>
    <w:rPr>
      <w:rFonts w:ascii="Times New Roman" w:hAnsi="Times New Roman" w:eastAsia="Times New Roman" w:cs="Times New Roman"/>
      <w:sz w:val="24"/>
      <w:szCs w:val="20"/>
    </w:rPr>
  </w:style>
  <w:style w:type="paragraph" w:styleId="849">
    <w:name w:val="List"/>
    <w:basedOn w:val="843"/>
    <w:pPr>
      <w:ind w:left="283" w:hanging="283"/>
    </w:pPr>
  </w:style>
  <w:style w:type="paragraph" w:styleId="850">
    <w:name w:val="List Bullet 2"/>
    <w:basedOn w:val="843"/>
    <w:pPr>
      <w:numPr>
        <w:ilvl w:val="0"/>
        <w:numId w:val="2"/>
      </w:numPr>
    </w:pPr>
  </w:style>
  <w:style w:type="character" w:styleId="851">
    <w:name w:val="Hyperlink"/>
    <w:unhideWhenUsed/>
    <w:rPr>
      <w:color w:val="0000ff"/>
      <w:u w:val="single"/>
    </w:rPr>
  </w:style>
  <w:style w:type="paragraph" w:styleId="852">
    <w:name w:val="Balloon Text"/>
    <w:basedOn w:val="843"/>
    <w:link w:val="853"/>
    <w:uiPriority w:val="99"/>
    <w:semiHidden/>
    <w:unhideWhenUsed/>
    <w:rPr>
      <w:rFonts w:ascii="Tahoma" w:hAnsi="Tahoma" w:cs="Tahoma"/>
      <w:sz w:val="16"/>
      <w:szCs w:val="16"/>
    </w:rPr>
  </w:style>
  <w:style w:type="character" w:styleId="853" w:customStyle="1">
    <w:name w:val="Текст выноски Знак"/>
    <w:basedOn w:val="844"/>
    <w:link w:val="852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54">
    <w:name w:val="List Paragraph"/>
    <w:basedOn w:val="84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DF174-582D-431D-A055-828F321DE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ФАУГИ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Маркина Елена Васильевна</dc:creator>
  <cp:lastModifiedBy>violetta.vlasova</cp:lastModifiedBy>
  <cp:revision>224</cp:revision>
  <dcterms:created xsi:type="dcterms:W3CDTF">2019-04-02T09:53:00Z</dcterms:created>
  <dcterms:modified xsi:type="dcterms:W3CDTF">2026-01-19T04:27:25Z</dcterms:modified>
</cp:coreProperties>
</file>