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6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934"/>
      </w:tblGrid>
      <w:tr>
        <w:trPr>
          <w:trHeight w:val="695"/>
        </w:trPr>
        <w:tblPrEx/>
        <w:tc>
          <w:tcPr>
            <w:tcW w:w="10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top"/>
          </w:tcPr>
          <w:p>
            <w:pPr>
              <w:pStyle w:val="832"/>
              <w:rPr>
                <w:rFonts w:ascii="XO Thames" w:hAnsi="XO Thames" w:cs="XO Thames"/>
                <w:b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</w:rPr>
              <w:t xml:space="preserve">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нформационное сообщение о проведении открытого аукциона в электронной форме по продаже арест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ованного имущества</w:t>
            </w:r>
            <w:r>
              <w:rPr>
                <w:rFonts w:ascii="XO Thames" w:hAnsi="XO Thames" w:eastAsia="XO Thames" w:cs="XO Thames"/>
                <w:b/>
                <w:sz w:val="24"/>
                <w:szCs w:val="24"/>
              </w:rPr>
            </w:r>
            <w:r>
              <w:rPr>
                <w:rFonts w:ascii="XO Thames" w:hAnsi="XO Thames" w:cs="XO Thames"/>
                <w:b/>
                <w:sz w:val="24"/>
                <w:szCs w:val="24"/>
              </w:rPr>
            </w:r>
          </w:p>
          <w:tbl>
            <w:tblPr>
              <w:tblW w:w="0" w:type="auto"/>
              <w:tblInd w:w="5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718"/>
            </w:tblGrid>
            <w:tr>
              <w:trPr>
                <w:trHeight w:val="415"/>
              </w:trPr>
              <w:tblPrEx/>
              <w:tc>
                <w:tcPr>
                  <w:tcW w:w="107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false"/>
                  <w:textDirection w:val="lrTb"/>
                  <w:vAlign w:val="top"/>
                </w:tcPr>
                <w:p>
                  <w:pPr>
                    <w:pStyle w:val="832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Территориальное Управление Федерального агентства по управлению государственным имуществом в Нижегородской области сообщает: 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«03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» марта 2026 года в 10 час. 00 мин. по московскому времени состоятся торги по продаже арестованного имущества. Торги проводятся в форме электронного аукциона на электронной торговой площадке, находящейся в сети интернет по адресу https://rts-tender.ru/: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shd w:val="clear" w:color="auto" w:fill="auto"/>
                    </w:rPr>
                  </w:r>
                </w:p>
                <w:tbl>
                  <w:tblPr>
                    <w:tblW w:w="0" w:type="auto"/>
                    <w:tblInd w:w="5" w:type="dxa"/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2"/>
                  </w:tblGrid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Наименование/Краткая характеристика/ Начальная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  <w:p>
                        <w:pPr>
                          <w:pStyle w:val="832"/>
                          <w:jc w:val="center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цена (руб)/ Сумма задатка (руб.)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Лот № 1. Ж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илой д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общей площадью 27,9 кв. м, назначение - жилое,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52:55:0080004:177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количество этажей - 1.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площадью 1074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+/- 11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52:55:0080004:106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 - земли населенных пунктов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вид разрешенного использования - для личного подсобного хозяйства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положение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Дивеевский р-н, с. Дивеево, ул. Заречная, д. 152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- Басюк Р.В.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- зап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рещение сделок с имуществом (двадцать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Сведения о зарегистрированных лицах судебным приставом-исполнителем не предоставлены.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Дивеевского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18.09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- 3 909 000 руб. (НДС не облагается). Сумма задатка - 1 172 700 руб. Шаг аукциона - 39 090 руб.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after="0" w:afterAutospacing="0" w:line="240" w:lineRule="auto"/>
                          <w:ind w:left="0" w:right="0" w:firstLine="0"/>
                          <w:jc w:val="both"/>
                          <w:rPr>
                            <w:rFonts w:ascii="XO Thames" w:hAnsi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8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2.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омещение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79,9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52:18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:0080183:1728, назначение - 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илое. Местопо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ложение: г. Нижний Новгород, пл. Маршала Жукова, д. 7, пом. П3, подвал №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Топтыгин В.Ж.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запрещение сделок с имуществом.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Сведения о наличии (или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отсутствии) задолженности по капитальному ремонту судебным приставом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исполнителем не предоставлены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.*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СОСП ГМУ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16.12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- 6 143 100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 учетом НДС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- 1 842 930 руб. Шаг аукциона - 61 431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spacing w:after="0" w:afterAutospacing="0" w:line="240" w:lineRule="auto"/>
                          <w:ind w:left="0" w:right="0" w:firstLine="0"/>
                          <w:jc w:val="both"/>
                          <w:rPr>
                            <w:rFonts w:ascii="XO Thames" w:hAnsi="XO Thames" w:cs="XO Thames"/>
                            <w:b w:val="0"/>
                            <w:bCs w:val="0"/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3.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дан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площадью 690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52:15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:0070201:750,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- 1,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2085 +/- 80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52:15:0070201:2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земель - земли населенных пунктов, вид разрешенного использования - под зданием столовой для размещения производства по розливу артезианской и минеральной воды.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Нижегородская обл., Городецкий р-н, пансионат Буревестник, Тимирязевский с/с, коммунальная столовая.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Должник - Иванова Л.В.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(восемнадцать регистрационных номеров), прочие ограничения прав и обременения объекта недвижимости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Городецкого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- 8 842 111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</w:t>
                        </w:r>
                        <w:r>
                          <w:rPr>
                            <w:rFonts w:ascii="XO Thames" w:hAnsi="XO Thames" w:eastAsia="XO Thames" w:cs="XO Thames"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- 2 652 633 руб. Шаг аукциона - 88 421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4.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дан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ие складов с пристроенной конторой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общей площадью 524,5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52:23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:0040103:174,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- 2,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4054 +/- 22,28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52:23:0040103:9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земель - земли населенных пунктов, вид разрешенного использования - для эксплуатации зданий и сооружений по целевому назначению.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Нижегородская обл., г. Богородск, ул. Калинина, д. 18а.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Должник - ООО «Завод «Орбита».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(одиннадцать регистрационных номеров);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запрещение сделок с имуществом, наложенное Межрайонной инспекцией Федеральной налоговой службы № 18 по Нижегородской области;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ипотека, в пользу Межрайонной инспекции Федеральной налоговой службы № 18 по Нижегородской области; ипотека, в пользу ПАО «НБД-Банк».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СОСП ГМУ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- 8 857 300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</w:t>
                        </w:r>
                        <w:r>
                          <w:rPr>
                            <w:rFonts w:ascii="XO Thames" w:hAnsi="XO Thames" w:eastAsia="XO Thames" w:cs="XO Thames"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- 2 657 190 руб. Шаг аукциона - 88 573 руб.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5.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Здание (садовый домик)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общей площадью 57,3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52:18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:0080265:1855,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- 1,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-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 площадью 706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52:18:0080265:34, единое землепользование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земель - земли населенных пунктов, вид разрешенного использования - для садоводства.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г. Нижний Новгород, ул. 40 лет Победы, СНТ «40 лет Победы», садовый домик № 34.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Эмирханов Ж.З.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запрещение сделок с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(два регистрационных номера)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Приокского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- 4 491 000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Сумма задатка - 1 347 300 руб. Шаг аукциона - 44 910 руб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6.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631 +/- 18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52:26:0010004:81,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категория земель - земли населенных пунктов, вид разрешенного использования - для ведения личного подсобного хозяйства.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 установлено относительно ориентира, расположенного в границах участка. Почтовый адрес ориентира: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Нижегородская обл., Кстовский р-н, д. Никульское, ул. Садовая, участок 481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Казарян Р.С.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- запрещение сделок с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(семнадцать регистрационных номеров)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Советского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10.11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- 2 670 440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Сумма задатка - 801 132 руб. Шаг аукциона - 26 704 руб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7.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бъект незавершенного строительства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1139 кв. м, степень готовности - 30%, кадастровый (или условный) номер 52:22:0800010:228, проектируемое назначение - нежилое. Местоположение: Нижегородская обл., Володарский р-н, п. Ильиногорск, Промрайон,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Промплощадка № 1, ул. Промышленная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- Сельскохозяйственный перерабатывающий потребительский кооператив «Лён»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гистрированные ограничения (обременения) - запрещение сделок с 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(восемнадцать регистрационных номеров).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Реализуется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СПИ СОСП ГМУ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о передаче арестованного имущества на торги 28.11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- 3 595 010,60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 учетом НДС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). Сумма задатка - 1 078 503 руб. Шаг аукциона - 35 950 руб.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8.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Квартира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общей площадью 37,2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кв.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м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назначение - жилое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кадаст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52:18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:0010087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:399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 Местоположение: г. Нижний Новгород, ул. Льва Толстого, д. 8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кв. 94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этаж 1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</w:rPr>
                          <w:t xml:space="preserve">Должник –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</w:rPr>
                          <w:t xml:space="preserve">Хавронин А.В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Зарегистриров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анные ограничения (обременения) -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запрещение сделок с имуществом (шестнадцать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регистрационных номеров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).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  <w:lang w:eastAsia="en-US"/>
                          </w:rPr>
                          <w:t xml:space="preserve">Зарегистрированные лица отсутствуют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Задолженность по взносам на капитальный ремонт на март 2025 г. составляет 23449,39 руб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Сормовского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24.12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Начальная цена - 3 595 075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руб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 (НДС не облагается). С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умма задатка – 1 078 522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руб. Ш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аг аукциона –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35 950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руб.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9.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Жилой дом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общей площадью 62,6 кв. м, назначение – жилое, кадастровый (или условный) номер 52:08:0010637:172, количество этажей – 2.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Земельный участок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площадью 640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+/- 8,86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52:08:0010637:162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земель - земли населенных пунктов, вид разрешенного использования – для ведения личного подсобного хозяйства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Местоположение: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Ковернинский м.о., д. Захватово, д. 47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Храмов В.А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(восемь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СОСП ГМУ 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 20.01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1 026 630 руб. (НДС не облагается). Сумма задатка – 307 989 руб. Шаг аукциона – 10 266 руб.</w:t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10.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Жилой дом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общей площадью 27,6 кв. м, назначение – жилое, кадастровый (или условный) номер 52:41:0406003:453, количество этажей –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Земельный участок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площадью 2431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+/- 34,51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52:41:0406003:61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земель - земли населенных пунктов, вид разрешенного использования –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для ведения личного подсобного хозяйства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Местоположение: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Арзамасский р-н, с. Волчиха, ул. К.Маркса, д. 33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Коршунов С.Н.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(пять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Арзамасского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16.01.2026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731 850 руб. (НДС не облагается). Сумма задатка – 219 555 руб. Шаг аукциона – 7 318 руб.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11.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Помещение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569,8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52:21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:0000115:9426, назначение – 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илое. Местопо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г. Дзержинск, ул. Молодежная, д. 17, пом. Р2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подвал №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– Базаева Седа Ваха-Хажиевна.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(семь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Сведения о наличии (или отсутствии) задолженности по капитальному ремонту судебным приставом исполнителем не предоставлены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Дзержинского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23.12.2025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– 10 744 000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(НДС не облагается). Сумма задатка – 3 223 200 руб. Шаг аукциона – 107 440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263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12.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Помещение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277,7 кв. м, кадастровый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или условный) номер 52:21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:0000056:2995, назначение – неж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илое. Местопо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ложение: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Нижегородская обл., г. Дзержинск, пр-кт Чкалова, д. 46, пом. 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подвал № 1.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– ООО «Эра».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(четырнадцать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Сведения о наличии (или отсутствии) задолженности по капитальному ремонту судебным приставом исполнителем не предоставлены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*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Дзержинского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23.12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– 15 866 448,50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(НДС не облагается). Сумма задатка – 4 759 934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руб. Шаг аукциона – 158 664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Лот № 13.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да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ние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модуля № 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общей площадью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1980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кв. м, кадастровый (ил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и ус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52:38:0020001:1511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количество этажей – 3,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назначение –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емельный участок площадью 3298 +/- 9 к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52:38:0020001:116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категория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земель - земли населенных пунктов, вид разрешенного использования –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для ведения деятельности в области машиностроения и металлообработки, для размещения производственных и административных зданий, строений, сооружений и обслуживающих их объектов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Местоположение: Нижегородская обл., г. Кулебаки, ул. Бутова, д. 66/6.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Должник – ЗАО «НПО «Импульс».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запрещение сделок с имуществом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(двенадцать регистрационных номеров)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Кулебакского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22.12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Начальная цена – 10 580 455,77 руб. (</w:t>
                        </w:r>
                        <w:r>
                          <w:rPr>
                            <w:rFonts w:ascii="XO Thames" w:hAnsi="XO Thames" w:eastAsia="XO Thames" w:cs="XO Thames"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в том числе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color w:val="00000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22% НДС на здания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Сумма задатка – 3 174 136 руб. Шаг аукциона – 105 804 руб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586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14.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Здание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(автогараж на 4 грузовых автомобиля) общей площадью 194,1 кв. м, кадастровый (ил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и ус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ловный) номер 52:55:0050003:967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, количество этажей – 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Местоположение: Нижегородская обл., Дивеевский р-н, с. Глухово, ул. Карла Маркса, д. 83.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Луковецкий А.С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Зарегистрированные ограничения (обременения) –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запрещение сделок с имуществом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(одиннадцать 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регистрационных номеров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</w:rPr>
                          <w:t xml:space="preserve">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еализуется на основании постановления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СПИ Дивеевского РОСП ГУФССП России по Нижегородской области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pacing w:val="4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22.12.2025 г. б/н.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1 826 797,05 руб. (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НДС не облагается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). Сумма задатка – 548 039 руб. Шаг аукциона – 18 267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</w:p>
                    </w:tc>
                  </w:tr>
                  <w:tr>
                    <w:trPr>
                      <w:trHeight w:val="263"/>
                    </w:trPr>
                    <w:tblPrEx/>
                    <w:tc>
                      <w:tcPr>
                        <w:tcW w:w="10482" w:type="dxa"/>
                        <w:vMerge w:val="restart"/>
                        <w:tcBorders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noWrap w:val="false"/>
                        <w:textDirection w:val="lrTb"/>
                        <w:vAlign w:val="center"/>
                      </w:tcPr>
                      <w:p>
                        <w:pPr>
                          <w:pStyle w:val="832"/>
                          <w:spacing w:line="240" w:lineRule="auto"/>
                          <w:jc w:val="both"/>
                          <w:rPr>
                            <w:rFonts w:ascii="XO Thames" w:hAnsi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Повторные торги: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</w:p>
                      <w:p>
                        <w:pPr>
                          <w:jc w:val="both"/>
                          <w:rPr>
                            <w:rFonts w:ascii="XO Thames" w:hAnsi="XO Thames" w:cs="XO Thames"/>
                            <w:sz w:val="24"/>
                            <w:szCs w:val="24"/>
                            <w:highlight w:val="none"/>
                          </w:rPr>
                        </w:pP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Л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от № 15.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/4 доля в праве общей долевой собственности сооружения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(наружный водопровод)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протяженностью 274 м, назначение – водоснабжение объектов недвижимости,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52:40:0401001:1047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109/1000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долей в праве общей долевой собственности здания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общей площадью 37,3 кв. м,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, количество этажей – 2, назначение – нежилое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(забор вокруг фабрики) площадью 300 кв. м, назначение – ограждение территории, кадастровый (или условный) номер 52:40:0401001:1055.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(артезианская скважина) площадью 8,9 кв. м, назначение – производственное, кадастровый (или условный) номер 52:40:0401001:1048.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(тепловые сети) протяженностью 234 м, назначение – тепло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снабжение объектов недвижимости, кадастровый (или условный) номер 52:40:0401001:1039.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(автомобильная дорога) площадью 4667 кв. м, назначение – обеспечение передвижения транспорта по территории предприятия, кадастровый (или условный) номер 52:40:0401001:1038.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(канализационные сети) протяженностью 466 м, назначение – отвод канализационных стоков,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52:40:0401001:1040.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1,8 кв. м, назначение – нежилое, кадастровый (или условный) но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мер 52:40:0401001:1051.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102.8 кв. м, назначение – нежилое,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52:40:0401001:1042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(газопровод под давлением) протяженностью 177 м, назначение – газоснабжение котельной, производственных объектов, кадастровый (или условный) номер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52:40:0401001:1049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1/4 доля в праве общей долевой собственности сооружения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площадью 1,8 кв. м, назначение – нежилое, кадастровый (или условный) номер 52:40:0401001:1041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Место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положение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: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Нижегородская обл., г. Арзамас, ул. Березина, д. 3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bCs/>
                            <w:sz w:val="24"/>
                            <w:szCs w:val="24"/>
                            <w:shd w:val="clear" w:color="auto" w:fill="auto"/>
                          </w:rPr>
                          <w:t xml:space="preserve">Должник – Шалашова Т.А.**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Зарегистрированные ограничения (обременения) – зап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рещение сд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елок с имуществом (двадцать пять регистрационных номеров).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Реализуется на основании постановления СПИ Арзамасского РОСП ГУФССП России по Нижегородской области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о снижении цены переданного на реализацию имущества на 15% от</w:t>
                        </w:r>
                        <w:r>
                          <w:rPr>
                            <w:rFonts w:ascii="XO Thames" w:hAnsi="XO Thames" w:eastAsia="XO Thames" w:cs="XO Thames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bCs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  <w:t xml:space="preserve"> 25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.12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.2025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г. 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б/н</w:t>
                        </w:r>
                        <w:r>
                          <w:rPr>
                            <w:rFonts w:ascii="XO Thames" w:hAnsi="XO Thames" w:eastAsia="XO Thames" w:cs="XO Thames"/>
                            <w:bCs/>
                            <w:sz w:val="24"/>
                            <w:szCs w:val="24"/>
                            <w:highlight w:val="none"/>
                          </w:rPr>
                          <w:t xml:space="preserve">. </w:t>
                        </w:r>
                        <w:r>
                          <w:rPr>
                            <w:rFonts w:ascii="XO Thames" w:hAnsi="XO Thames" w:eastAsia="XO Thames" w:cs="XO Thames"/>
                            <w:b w:val="0"/>
                            <w:sz w:val="24"/>
                            <w:szCs w:val="24"/>
                            <w:shd w:val="clear" w:color="auto" w:fill="auto"/>
                          </w:rPr>
                          <w:t xml:space="preserve">Начальная цена – 2 421 650 руб. (НДС не облагается). Сумма задатка – 726 495 руб. Шаг аукциона – 24 216 руб.</w:t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b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  <w:shd w:val="clear" w:color="auto" w:fill="auto"/>
                          </w:rPr>
                        </w:r>
                        <w:r>
                          <w:rPr>
                            <w:rFonts w:ascii="XO Thames" w:hAnsi="XO Thames" w:eastAsia="XO Thames" w:cs="XO Thames"/>
                            <w:sz w:val="24"/>
                            <w:szCs w:val="24"/>
                            <w:highlight w:val="none"/>
                          </w:rPr>
                        </w:r>
                      </w:p>
                    </w:tc>
                  </w:tr>
                </w:tbl>
                <w:p>
                  <w:pPr>
                    <w:pStyle w:val="832"/>
                    <w:spacing w:line="240" w:lineRule="auto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*В соответствии с ч. 3 ст. 158 Жилищ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ного кодекса РФ обязательства предыдущего собственника по оплате расходов на капитальный ремонт переходят к новому собственнику.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spacing w:line="240" w:lineRule="auto"/>
                    <w:ind w:right="0" w:firstLine="709"/>
                    <w:jc w:val="both"/>
                    <w:rPr>
                      <w:rFonts w:ascii="XO Thames" w:hAnsi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**Все участники общей долевой собственности объекта недвижимости, который выставлен на торги, были извещены надлежащим образом. В случае выражения согласия на приобретение доли, либо налич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ия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возражения о выставлении имущества на торги, участники общей долевой собственности вправе направить соответствующее обращение организатору торгов до 3 февраля 2026 г. Расходы, связанные с нотариальным удостоверением указанной сделки, ложатся на покупателя.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spacing w:line="240" w:lineRule="auto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п. 5 ст. 449.1 ГК РФ. В публичных торгах не могут участвов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ать должник, организации, на которые возложены оценка и реализация имуществ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лиц).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ind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Согласно ч. 1 ст 9 Закона № 152-ФЗ. Согласие на обработку персональных данных должно быть оформлено отдельно от иных документов, которые подтверждает и (или) подписывает субъект персональных данных.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6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Дата начала приема заявок на участие в аукционе «23» января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2025 г. по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b w:val="0"/>
                      <w:bCs w:val="0"/>
                      <w:sz w:val="24"/>
                      <w:szCs w:val="24"/>
                      <w:highlight w:val="none"/>
                    </w:rPr>
                    <w:t xml:space="preserve">«26» февраля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2026 года до 23:59 по московскому времени. Заявки подаются через электронную площадку в соответствии с аукционной документацией, размещенной на сайте www.torgi.gov.ru, на сайте электронной площадки https://rts-tender.ru/.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  <w:u w:val="single"/>
                    </w:rPr>
                  </w:r>
                </w:p>
                <w:p>
                  <w:pPr>
                    <w:pStyle w:val="832"/>
                    <w:jc w:val="both"/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u w:val="single"/>
                    </w:rPr>
                    <w:t xml:space="preserve">Подведение итогов приема заявок на участие в торгах проводится «27» февраля 2026 года с 10 час.00 мин. по московскому времени.</w:t>
                  </w: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b/>
                      <w:i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Условия участия в торгах (аукционе)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Информация об иных установленных правах третьих лиц на вышеуказанное имущество (Лот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№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1-15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у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Пр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одавца отсутствует.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center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b/>
                      <w:i/>
                      <w:sz w:val="24"/>
                      <w:szCs w:val="24"/>
                      <w:highlight w:val="none"/>
                    </w:rPr>
                    <w:t xml:space="preserve">Порядок внесения задатка</w:t>
                  </w: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ind w:right="0" w:firstLine="567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Задаток вносится в валюте Российской Федерации на счет электронной площадки ООО «РТС - тендер» https://rts-tender.ru/ по следующим реквизитам: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Получатель: ООО «РТС-тендер»;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Наименование банка: Филиал «Корпоративный» ПАО «Совкомбанк»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Расчетный счёт: 40702810512030016362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Корр. счёт: 30101810445250000360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БИК: 044525360 ИНН: 7710357167</w:t>
                  </w: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color w:val="000000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widowControl w:val="off"/>
                    <w:tabs>
                      <w:tab w:val="left" w:pos="567" w:leader="none"/>
                      <w:tab w:val="left" w:pos="993" w:leader="none"/>
                    </w:tabs>
                    <w:ind w:left="0"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color w:val="000000"/>
                      <w:sz w:val="24"/>
                      <w:szCs w:val="24"/>
                      <w:highlight w:val="none"/>
                    </w:rPr>
                    <w:t xml:space="preserve">КПП: 773001001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Назначение платежа: Внесение гарантийного обеспечения по Соглашению о внесении гарантийного обеспечения, № аналитического счета _________ без НДС.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Задаток должен быть перечислен не позднее последнего дня приема заявок, а именно «26» февраля 2026 г., и поступить на указанный счет не позднее «26» февраля 2026 г.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  <w:p>
                  <w:pPr>
                    <w:pStyle w:val="832"/>
                    <w:ind w:right="0" w:firstLine="709"/>
                    <w:jc w:val="both"/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Все вопросы, касающиеся проведения торго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http://www.torgi.gov.ru/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  <w:lang w:val="en-US"/>
                    </w:rPr>
                    <w:t xml:space="preserve">new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/, сайте электронной торговой площадки на сайте https:/rts-tender.ru/, ознакомиться с документацией о предмете торгов можно по предварительной записи по телефону 8 (831) 467-81-66, а также путем направления запроса по электронной почте продавца, E-mail: 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lilia.yezhova@rosim.gov.ru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 (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Росимущество рекомендует гражданам д</w:t>
                  </w:r>
                  <w:r>
                    <w:rPr>
                      <w:rFonts w:ascii="XO Thames" w:hAnsi="XO Thames" w:eastAsia="XO Thames" w:cs="XO Thames"/>
                      <w:b/>
                      <w:sz w:val="24"/>
                      <w:szCs w:val="24"/>
                      <w:highlight w:val="none"/>
                    </w:rPr>
                    <w:t xml:space="preserve">ля приема и отправки электронных почтовых сообщений в государственные органы использовать только почтовые серверы в российских доменах (.ru, .su) или зарегистрированные в сервисах стран, не попадающих под ограничения (https://rosim.gov.ru/press/news/423079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  <w:t xml:space="preserve">), либо через личный кабинет на электронной площадке «РТС-Тендер».</w:t>
                  </w:r>
                  <w:r>
                    <w:rPr>
                      <w:rFonts w:ascii="XO Thames" w:hAnsi="XO Thames" w:eastAsia="XO Thames" w:cs="XO Thames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XO Thames" w:hAnsi="XO Thames" w:cs="XO Thames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pStyle w:val="832"/>
              <w:ind w:right="0" w:firstLine="0"/>
              <w:jc w:val="both"/>
              <w:rPr>
                <w:rFonts w:ascii="XO Thames" w:hAnsi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  <w:highlight w:val="none"/>
              </w:rPr>
            </w:r>
          </w:p>
        </w:tc>
      </w:tr>
    </w:tbl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851" w:right="850" w:bottom="709" w:left="10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Tahoma">
    <w:panose1 w:val="020B0604030504040204"/>
  </w:font>
  <w:font w:name="Droid Sans Devanagari">
    <w:panose1 w:val="020B0606030804020204"/>
  </w:font>
  <w:font w:name="Droid Sans Fallback">
    <w:panose1 w:val="020B0502000000000001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decimal"/>
      <w:pStyle w:val="833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character" w:styleId="660">
    <w:name w:val="Heading 3 Char"/>
    <w:link w:val="833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ind w:left="720"/>
      <w:contextualSpacing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link w:val="683"/>
    <w:uiPriority w:val="99"/>
  </w:style>
  <w:style w:type="paragraph" w:styleId="685">
    <w:name w:val="Footer"/>
    <w:basedOn w:val="832"/>
    <w:link w:val="68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link w:val="685"/>
    <w:uiPriority w:val="99"/>
  </w:style>
  <w:style w:type="character" w:styleId="687">
    <w:name w:val="Caption Char"/>
    <w:basedOn w:val="848"/>
    <w:link w:val="685"/>
    <w:uiPriority w:val="99"/>
  </w:style>
  <w:style w:type="table" w:styleId="688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4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5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6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7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8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29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0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2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2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2"/>
    <w:next w:val="832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2"/>
    <w:next w:val="832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2"/>
    <w:next w:val="832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2"/>
    <w:next w:val="832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2"/>
    <w:next w:val="832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2"/>
    <w:next w:val="832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2"/>
    <w:next w:val="832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2"/>
    <w:next w:val="832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2"/>
    <w:next w:val="832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2"/>
    <w:next w:val="832"/>
    <w:uiPriority w:val="99"/>
    <w:unhideWhenUsed/>
    <w:pPr>
      <w:spacing w:after="0" w:afterAutospacing="0"/>
    </w:pPr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2" w:default="1">
    <w:name w:val="Normal"/>
    <w:next w:val="832"/>
    <w:link w:val="832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3">
    <w:name w:val="Heading 3"/>
    <w:basedOn w:val="832"/>
    <w:next w:val="832"/>
    <w:link w:val="832"/>
    <w:pPr>
      <w:keepNext/>
      <w:numPr>
        <w:numId w:val="1"/>
        <w:ilvl w:val="2"/>
      </w:numPr>
      <w:jc w:val="both"/>
      <w:outlineLvl w:val="2"/>
    </w:pPr>
    <w:rPr>
      <w:i/>
      <w:szCs w:val="20"/>
    </w:rPr>
  </w:style>
  <w:style w:type="character" w:styleId="834">
    <w:name w:val="Основной шрифт абзаца"/>
    <w:next w:val="834"/>
    <w:link w:val="832"/>
  </w:style>
  <w:style w:type="character" w:styleId="835">
    <w:name w:val="WW8Num1z0"/>
    <w:next w:val="835"/>
    <w:link w:val="832"/>
  </w:style>
  <w:style w:type="character" w:styleId="836">
    <w:name w:val="WW8Num2z0"/>
    <w:next w:val="836"/>
    <w:link w:val="832"/>
    <w:rPr>
      <w:b w:val="0"/>
      <w:i w:val="0"/>
      <w:sz w:val="24"/>
      <w:szCs w:val="24"/>
    </w:rPr>
  </w:style>
  <w:style w:type="character" w:styleId="837">
    <w:name w:val="Основной шрифт абзаца1"/>
    <w:next w:val="837"/>
    <w:link w:val="832"/>
  </w:style>
  <w:style w:type="character" w:styleId="838">
    <w:name w:val="Обычный + 12 пт Знак"/>
    <w:next w:val="838"/>
    <w:link w:val="832"/>
    <w:rPr>
      <w:sz w:val="24"/>
      <w:szCs w:val="24"/>
      <w:lang w:val="ru-RU" w:bidi="ar-SA"/>
    </w:rPr>
  </w:style>
  <w:style w:type="character" w:styleId="839">
    <w:name w:val="apple-converted-space"/>
    <w:next w:val="839"/>
    <w:link w:val="832"/>
  </w:style>
  <w:style w:type="character" w:styleId="840">
    <w:name w:val="Hyperlink"/>
    <w:next w:val="840"/>
    <w:link w:val="832"/>
    <w:rPr>
      <w:color w:val="0563c1"/>
      <w:u w:val="single"/>
    </w:rPr>
  </w:style>
  <w:style w:type="character" w:styleId="841">
    <w:name w:val="ConsPlusNormal Знак"/>
    <w:next w:val="841"/>
    <w:link w:val="832"/>
    <w:rPr>
      <w:rFonts w:ascii="Arial" w:hAnsi="Arial" w:eastAsia="Calibri" w:cs="Arial"/>
      <w:lang w:val="ru-RU" w:bidi="ar-SA"/>
    </w:rPr>
  </w:style>
  <w:style w:type="character" w:styleId="842">
    <w:name w:val="Знак примечания1"/>
    <w:next w:val="842"/>
    <w:link w:val="832"/>
    <w:rPr>
      <w:sz w:val="16"/>
      <w:szCs w:val="16"/>
    </w:rPr>
  </w:style>
  <w:style w:type="character" w:styleId="843">
    <w:name w:val="Текст примечания Знак"/>
    <w:basedOn w:val="837"/>
    <w:next w:val="843"/>
    <w:link w:val="832"/>
  </w:style>
  <w:style w:type="character" w:styleId="844">
    <w:name w:val="Тема примечания Знак"/>
    <w:next w:val="844"/>
    <w:link w:val="832"/>
    <w:rPr>
      <w:b/>
      <w:bCs/>
    </w:rPr>
  </w:style>
  <w:style w:type="paragraph" w:styleId="845">
    <w:name w:val="Заголовок"/>
    <w:basedOn w:val="832"/>
    <w:next w:val="846"/>
    <w:link w:val="832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6">
    <w:name w:val="Body Text"/>
    <w:basedOn w:val="832"/>
    <w:next w:val="846"/>
    <w:link w:val="832"/>
    <w:pPr>
      <w:widowControl w:val="off"/>
      <w:spacing w:before="80" w:after="0" w:line="252" w:lineRule="auto"/>
      <w:ind w:left="0" w:right="600" w:firstLine="0"/>
      <w:jc w:val="both"/>
    </w:pPr>
    <w:rPr>
      <w:sz w:val="20"/>
      <w:szCs w:val="20"/>
    </w:rPr>
  </w:style>
  <w:style w:type="paragraph" w:styleId="847">
    <w:name w:val="List"/>
    <w:basedOn w:val="846"/>
    <w:next w:val="847"/>
    <w:link w:val="832"/>
    <w:rPr>
      <w:rFonts w:cs="Droid Sans Devanagari"/>
    </w:rPr>
  </w:style>
  <w:style w:type="paragraph" w:styleId="848">
    <w:name w:val="Caption"/>
    <w:basedOn w:val="832"/>
    <w:next w:val="848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49">
    <w:name w:val="Указатель"/>
    <w:basedOn w:val="832"/>
    <w:next w:val="849"/>
    <w:link w:val="832"/>
    <w:pPr>
      <w:suppressLineNumbers/>
    </w:pPr>
    <w:rPr>
      <w:rFonts w:cs="Droid Sans Devanagari"/>
    </w:rPr>
  </w:style>
  <w:style w:type="paragraph" w:styleId="850">
    <w:name w:val="Caption1"/>
    <w:basedOn w:val="832"/>
    <w:next w:val="850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1">
    <w:name w:val="Caption11"/>
    <w:basedOn w:val="832"/>
    <w:next w:val="851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2">
    <w:name w:val="Caption111"/>
    <w:basedOn w:val="832"/>
    <w:next w:val="852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3">
    <w:name w:val="Caption1111"/>
    <w:basedOn w:val="832"/>
    <w:next w:val="853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4">
    <w:name w:val="Caption11111"/>
    <w:basedOn w:val="832"/>
    <w:next w:val="854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5">
    <w:name w:val="Caption111111"/>
    <w:basedOn w:val="832"/>
    <w:next w:val="855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6">
    <w:name w:val="Caption1111111"/>
    <w:basedOn w:val="832"/>
    <w:next w:val="856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7">
    <w:name w:val="Caption11111111"/>
    <w:basedOn w:val="832"/>
    <w:next w:val="857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8">
    <w:name w:val="Caption111111111"/>
    <w:basedOn w:val="832"/>
    <w:next w:val="858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59">
    <w:name w:val="Caption1111111111"/>
    <w:basedOn w:val="832"/>
    <w:next w:val="859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0">
    <w:name w:val="Caption11111111111"/>
    <w:basedOn w:val="832"/>
    <w:next w:val="860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1">
    <w:name w:val="Caption111111111111"/>
    <w:basedOn w:val="832"/>
    <w:next w:val="861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2">
    <w:name w:val="Caption1111111111111"/>
    <w:basedOn w:val="832"/>
    <w:next w:val="862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3">
    <w:name w:val="Caption11111111111111"/>
    <w:basedOn w:val="832"/>
    <w:next w:val="863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4">
    <w:name w:val="Caption111111111111111"/>
    <w:basedOn w:val="832"/>
    <w:next w:val="864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5">
    <w:name w:val="Caption1111111111111111"/>
    <w:basedOn w:val="832"/>
    <w:next w:val="865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6">
    <w:name w:val="Caption11111111111111111"/>
    <w:basedOn w:val="832"/>
    <w:next w:val="866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7">
    <w:name w:val="Caption111111111111111111"/>
    <w:basedOn w:val="832"/>
    <w:next w:val="867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8">
    <w:name w:val="Caption1111111111111111111"/>
    <w:basedOn w:val="832"/>
    <w:next w:val="868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69">
    <w:name w:val="Caption11111111111111111111"/>
    <w:basedOn w:val="832"/>
    <w:next w:val="869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0">
    <w:name w:val="Caption111111111111111111111"/>
    <w:basedOn w:val="832"/>
    <w:next w:val="870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1">
    <w:name w:val="Caption1111111111111111111111"/>
    <w:basedOn w:val="832"/>
    <w:next w:val="871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2">
    <w:name w:val="Caption11111111111111111111111"/>
    <w:basedOn w:val="832"/>
    <w:next w:val="872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3">
    <w:name w:val="Caption111111111111111111111111"/>
    <w:basedOn w:val="832"/>
    <w:next w:val="873"/>
    <w:link w:val="86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4">
    <w:name w:val="Caption1111111111111111111111111"/>
    <w:basedOn w:val="832"/>
    <w:next w:val="874"/>
    <w:link w:val="86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5">
    <w:name w:val="Caption11111111111111111111111111"/>
    <w:basedOn w:val="832"/>
    <w:next w:val="875"/>
    <w:link w:val="86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6">
    <w:name w:val="Caption111111111111111111111111111"/>
    <w:basedOn w:val="832"/>
    <w:next w:val="876"/>
    <w:link w:val="868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7">
    <w:name w:val="Caption1111111111111111111111111111"/>
    <w:basedOn w:val="832"/>
    <w:next w:val="877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8">
    <w:name w:val="Caption11111111111111111111111111111"/>
    <w:basedOn w:val="832"/>
    <w:next w:val="878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79">
    <w:name w:val="Caption111111111111111111111111111111"/>
    <w:basedOn w:val="832"/>
    <w:next w:val="879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80">
    <w:name w:val="Caption1111111111111111111111111111111"/>
    <w:basedOn w:val="832"/>
    <w:next w:val="880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81">
    <w:name w:val="Название объекта"/>
    <w:basedOn w:val="832"/>
    <w:next w:val="88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82">
    <w:name w:val="Указатель1"/>
    <w:basedOn w:val="832"/>
    <w:next w:val="882"/>
    <w:link w:val="832"/>
    <w:pPr>
      <w:suppressLineNumbers/>
    </w:pPr>
    <w:rPr>
      <w:rFonts w:cs="Droid Sans Devanagari"/>
    </w:rPr>
  </w:style>
  <w:style w:type="paragraph" w:styleId="883">
    <w:name w:val="Caption11111111111111111111111111111111"/>
    <w:basedOn w:val="832"/>
    <w:next w:val="883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84">
    <w:name w:val="Caption111111111111111111111111111111111"/>
    <w:basedOn w:val="832"/>
    <w:next w:val="884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85">
    <w:name w:val="Caption1111111111111111111111111111111111"/>
    <w:basedOn w:val="832"/>
    <w:next w:val="885"/>
    <w:link w:val="8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886">
    <w:name w:val="Текст выноски"/>
    <w:basedOn w:val="832"/>
    <w:next w:val="886"/>
    <w:rPr>
      <w:rFonts w:ascii="Tahoma" w:hAnsi="Tahoma" w:cs="Tahoma"/>
      <w:sz w:val="16"/>
      <w:szCs w:val="16"/>
    </w:rPr>
  </w:style>
  <w:style w:type="paragraph" w:styleId="887">
    <w:name w:val="Body Text 2"/>
    <w:basedOn w:val="832"/>
    <w:next w:val="887"/>
    <w:link w:val="832"/>
    <w:pPr>
      <w:jc w:val="both"/>
    </w:pPr>
    <w:rPr>
      <w:szCs w:val="20"/>
    </w:rPr>
  </w:style>
  <w:style w:type="paragraph" w:styleId="888">
    <w:name w:val="Обычный + 12 пт"/>
    <w:basedOn w:val="832"/>
    <w:next w:val="888"/>
    <w:link w:val="832"/>
    <w:pPr>
      <w:tabs>
        <w:tab w:val="left" w:pos="4678" w:leader="none"/>
      </w:tabs>
      <w:ind w:left="0" w:right="0" w:firstLine="720"/>
      <w:jc w:val="both"/>
    </w:pPr>
  </w:style>
  <w:style w:type="paragraph" w:styleId="889">
    <w:name w:val="Обычный (веб)"/>
    <w:basedOn w:val="832"/>
    <w:next w:val="889"/>
    <w:link w:val="832"/>
    <w:pPr>
      <w:spacing w:before="280" w:after="280"/>
    </w:pPr>
  </w:style>
  <w:style w:type="paragraph" w:styleId="890">
    <w:name w:val="western"/>
    <w:basedOn w:val="832"/>
    <w:next w:val="890"/>
    <w:link w:val="832"/>
    <w:pPr>
      <w:spacing w:before="280" w:after="280"/>
    </w:pPr>
  </w:style>
  <w:style w:type="paragraph" w:styleId="891">
    <w:name w:val="ConsPlusNormal"/>
    <w:next w:val="891"/>
    <w:link w:val="832"/>
    <w:pPr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92">
    <w:name w:val="Текст примечания1"/>
    <w:basedOn w:val="832"/>
    <w:next w:val="892"/>
    <w:link w:val="832"/>
    <w:rPr>
      <w:sz w:val="20"/>
      <w:szCs w:val="20"/>
    </w:rPr>
  </w:style>
  <w:style w:type="paragraph" w:styleId="893">
    <w:name w:val="Тема примечания"/>
    <w:basedOn w:val="892"/>
    <w:next w:val="892"/>
    <w:link w:val="832"/>
    <w:rPr>
      <w:b/>
      <w:bCs/>
    </w:rPr>
  </w:style>
  <w:style w:type="paragraph" w:styleId="894">
    <w:name w:val="Содержимое таблицы"/>
    <w:basedOn w:val="832"/>
    <w:next w:val="894"/>
    <w:link w:val="832"/>
    <w:pPr>
      <w:widowControl w:val="off"/>
      <w:suppressLineNumbers/>
    </w:pPr>
  </w:style>
  <w:style w:type="paragraph" w:styleId="895">
    <w:name w:val="Заголовок таблицы"/>
    <w:basedOn w:val="894"/>
    <w:next w:val="895"/>
    <w:link w:val="832"/>
    <w:pPr>
      <w:suppressLineNumbers/>
      <w:jc w:val="center"/>
    </w:pPr>
    <w:rPr>
      <w:b/>
      <w:bCs/>
    </w:rPr>
  </w:style>
  <w:style w:type="character" w:styleId="896" w:default="1">
    <w:name w:val="Default Paragraph Font"/>
    <w:uiPriority w:val="1"/>
    <w:semiHidden/>
    <w:unhideWhenUsed/>
  </w:style>
  <w:style w:type="numbering" w:styleId="89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Контракту от «___» ___________ 2007 года № ___________</dc:title>
  <dc:creator>Седова</dc:creator>
  <cp:lastModifiedBy>lilia.yezhova</cp:lastModifiedBy>
  <cp:revision>157</cp:revision>
  <dcterms:created xsi:type="dcterms:W3CDTF">2024-03-31T11:20:00Z</dcterms:created>
  <dcterms:modified xsi:type="dcterms:W3CDTF">2026-01-22T11:33:41Z</dcterms:modified>
</cp:coreProperties>
</file>