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934"/>
      </w:tblGrid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XO Thames" w:hAnsi="XO Thames" w:cs="XO Thames"/>
                <w:b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</w:rPr>
              <w:t xml:space="preserve">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нформационное сообщение о проведении открытого аукциона в электронной форме по продаже арестованного имущества</w:t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</w:p>
          <w:tbl>
            <w:tblPr>
              <w:tblW w:w="0" w:type="auto"/>
              <w:tblInd w:w="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718"/>
            </w:tblGrid>
            <w:tr>
              <w:tblPrEx/>
              <w:trPr>
                <w:trHeight w:val="4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718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Территориальное Управление Федерального агентства по управлению государственным имуществом в Нижегородской области сообщает: 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«24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» февраля 2026 года в 10 час. 00 мин. по московскому времени состоятся торги по продаже арестованного имущества. Торги проводятся в форме электронного аукциона на электронной торговой площадке, находящейся в сети интернет по адресу https://rts-tender.ru/: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2"/>
                  </w:tblGrid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Наименование/Краткая характеристика/ Начальная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цена (руб)/ Сумма задатка (руб.)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86"/>
                    </w:trPr>
                    <w:tc>
                      <w:tcPr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W w:w="10482" w:type="dxa"/>
                        <w:vAlign w:val="center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32"/>
                          <w:jc w:val="both"/>
                          <w:spacing w:line="240" w:lineRule="auto"/>
                          <w:rPr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1.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23683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+/- 54 кв. м, кадастровый (или условный) номер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52:26:0050048:142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категория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 -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земли сельскохозяйственного назначения, вид разрешенного использования - для сельскохозяйственного производства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Местоположение установлено относительно ориентира, расположенного за пределами участка. Ориентир - нп. Новые Ключищи. Участок находится примерно в 1,9 км, по направлению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 юго-восток от ориентира. Почтовый адрес ориентира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 Нижегородская обл., Кстовский р-н.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ООО «Регион».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гистрированные ограничения (обременения) -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(два регистрационных номера).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Нижегородского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передаче арестованного имущества на торги от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24.10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- 2 654 864 руб. (НДС не облагается). Сумма задатка - 796 459 руб. Шаг аукциона - 26 548 руб.</w:t>
                        </w:r>
                        <w:r>
                          <w:rPr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832"/>
                    <w:ind w:right="0" w:firstLine="709"/>
                    <w:jc w:val="both"/>
                    <w:spacing w:line="240" w:lineRule="auto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п. 5 ст. 449.1 ГК РФ. В публичных торгах не могут участвов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ать должник, организации, на которые возложены оценка и реализация имуществ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лиц).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ind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ч. 1 ст 9 Закона № 152-ФЗ. Согласие на обработку персональных данных должно быть оформлено отдельно от иных документов, которые подтверждает и (или) подписывает субъект персональных данных.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6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Дата начала приема заявок на участие в аукционе «20» января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2026 г. по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«19» февраля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2026 года до 23:59 по московскому времени. Заявки подаются через электронную площадку в соответствии с аукционной документацией, размещенной на сайте www.torgi.gov.ru, на сайте электронной площадки https://rts-tender.ru/.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</w:p>
                <w:p>
                  <w:pPr>
                    <w:pStyle w:val="832"/>
                    <w:jc w:val="both"/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u w:val="single"/>
                    </w:rPr>
                    <w:t xml:space="preserve">Подведение итогов приема заявок на участие в торгах проводится «20» февраля 2026 года с 10 час.00 мин. по московскому времени.</w:t>
                  </w:r>
                  <w:r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Условия участия в торгах (аукционе)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Информация об иных установленных правах третьих лиц на вышеуказанное имущество (Лот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№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1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у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Продавца отсутствует.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center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Порядок внесения задатка</w:t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567"/>
                    <w:jc w:val="both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Задаток вносится в валюте Российской Федерации на счет электронной площадки ООО «РТС - тендер» https://rts-tender.ru/ по следующим реквизитам: 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Получатель: ООО «РТС-тендер»;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Наименование банка: Филиал «Корпоративный» ПАО «Совкомбанк»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Расчетный счёт: 40702810512030016362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Корр. счёт: 30101810445250000360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БИК: 044525360 ИНН: 7710357167</w:t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left="0" w:right="0" w:firstLine="709"/>
                    <w:jc w:val="both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КПП: 773001001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Назначение платежа: Внесение гарантийного обеспечения по Соглашению о внесении гарантийного обеспечения, № аналитического счета _________ без НДС.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Задаток должен быть перечислен не позднее последнего дня приема заявок, а именно «19» февраля 2026 г., и поступить на указанный счет не позднее «19» февраля 2026 г. 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Все вопросы, касающиеся проведения торго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http://www.torgi.gov.ru/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lang w:val="en-US"/>
                    </w:rPr>
                    <w:t xml:space="preserve">new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/, сайте электронной торговой площадки на сайте https:/rts-tender.ru/, ознакомиться с документацией о предмете торгов можно по предварительной записи по телефону 8 (831) 467-81-66, а также путем направления запроса по электронной почте продавца, E-mail: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lilia.yezhova@rosim.gov.ru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(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Росимущество рекомендует гражданам д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ля приема и отправки электронных почтовых сообщений в государственные органы использовать только почтовые серверы в российских доменах (.ru, .su) или зарегистрированные в сервисах стран, не попадающих под ограничения (https://rosim.gov.ru/press/news/423079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), либо через личный кабинет на электронной площадке «РТС-Тендер».</w:t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pStyle w:val="832"/>
              <w:jc w:val="both"/>
              <w:rPr>
                <w:rFonts w:ascii="XO Thames" w:hAnsi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</w:p>
          <w:p>
            <w:pPr>
              <w:pStyle w:val="832"/>
              <w:ind w:right="0" w:firstLine="704"/>
              <w:jc w:val="both"/>
              <w:rPr>
                <w:rFonts w:ascii="XO Thames" w:hAnsi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850" w:bottom="709" w:left="10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ahoma">
    <w:panose1 w:val="020B06040305040402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link w:val="833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character" w:styleId="687">
    <w:name w:val="Caption Char"/>
    <w:basedOn w:val="848"/>
    <w:link w:val="685"/>
    <w:uiPriority w:val="99"/>
  </w:style>
  <w:style w:type="table" w:styleId="68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2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2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2"/>
    <w:next w:val="832"/>
    <w:uiPriority w:val="99"/>
    <w:unhideWhenUsed/>
    <w:pPr>
      <w:spacing w:after="0" w:afterAutospacing="0"/>
    </w:pPr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2" w:default="1">
    <w:name w:val="Normal"/>
    <w:next w:val="832"/>
    <w:link w:val="83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3">
    <w:name w:val="Heading 3"/>
    <w:basedOn w:val="832"/>
    <w:next w:val="832"/>
    <w:link w:val="832"/>
    <w:pPr>
      <w:numPr>
        <w:ilvl w:val="2"/>
        <w:numId w:val="1"/>
      </w:numPr>
      <w:jc w:val="both"/>
      <w:keepNext/>
      <w:outlineLvl w:val="2"/>
    </w:pPr>
    <w:rPr>
      <w:i/>
      <w:szCs w:val="20"/>
    </w:rPr>
  </w:style>
  <w:style w:type="character" w:styleId="834">
    <w:name w:val="Основной шрифт абзаца"/>
    <w:next w:val="834"/>
    <w:link w:val="832"/>
  </w:style>
  <w:style w:type="character" w:styleId="835">
    <w:name w:val="WW8Num1z0"/>
    <w:next w:val="835"/>
    <w:link w:val="832"/>
  </w:style>
  <w:style w:type="character" w:styleId="836">
    <w:name w:val="WW8Num2z0"/>
    <w:next w:val="836"/>
    <w:link w:val="832"/>
    <w:rPr>
      <w:b w:val="0"/>
      <w:i w:val="0"/>
      <w:sz w:val="24"/>
      <w:szCs w:val="24"/>
    </w:rPr>
  </w:style>
  <w:style w:type="character" w:styleId="837">
    <w:name w:val="Основной шрифт абзаца1"/>
    <w:next w:val="837"/>
    <w:link w:val="832"/>
  </w:style>
  <w:style w:type="character" w:styleId="838">
    <w:name w:val="Обычный + 12 пт Знак"/>
    <w:next w:val="838"/>
    <w:link w:val="832"/>
    <w:rPr>
      <w:sz w:val="24"/>
      <w:szCs w:val="24"/>
      <w:lang w:val="ru-RU" w:bidi="ar-SA"/>
    </w:rPr>
  </w:style>
  <w:style w:type="character" w:styleId="839">
    <w:name w:val="apple-converted-space"/>
    <w:next w:val="839"/>
    <w:link w:val="832"/>
  </w:style>
  <w:style w:type="character" w:styleId="840">
    <w:name w:val="Hyperlink"/>
    <w:next w:val="840"/>
    <w:link w:val="832"/>
    <w:rPr>
      <w:color w:val="0563c1"/>
      <w:u w:val="single"/>
    </w:rPr>
  </w:style>
  <w:style w:type="character" w:styleId="841">
    <w:name w:val="ConsPlusNormal Знак"/>
    <w:next w:val="841"/>
    <w:link w:val="832"/>
    <w:rPr>
      <w:rFonts w:ascii="Arial" w:hAnsi="Arial" w:eastAsia="Calibri" w:cs="Arial"/>
      <w:lang w:val="ru-RU" w:bidi="ar-SA"/>
    </w:rPr>
  </w:style>
  <w:style w:type="character" w:styleId="842">
    <w:name w:val="Знак примечания1"/>
    <w:next w:val="842"/>
    <w:link w:val="832"/>
    <w:rPr>
      <w:sz w:val="16"/>
      <w:szCs w:val="16"/>
    </w:rPr>
  </w:style>
  <w:style w:type="character" w:styleId="843">
    <w:name w:val="Текст примечания Знак"/>
    <w:basedOn w:val="837"/>
    <w:next w:val="843"/>
    <w:link w:val="832"/>
  </w:style>
  <w:style w:type="character" w:styleId="844">
    <w:name w:val="Тема примечания Знак"/>
    <w:next w:val="844"/>
    <w:link w:val="832"/>
    <w:rPr>
      <w:b/>
      <w:bCs/>
    </w:rPr>
  </w:style>
  <w:style w:type="paragraph" w:styleId="845">
    <w:name w:val="Заголовок"/>
    <w:basedOn w:val="832"/>
    <w:next w:val="846"/>
    <w:link w:val="832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6">
    <w:name w:val="Body Text"/>
    <w:basedOn w:val="832"/>
    <w:next w:val="846"/>
    <w:link w:val="832"/>
    <w:pPr>
      <w:ind w:left="0" w:right="600" w:firstLine="0"/>
      <w:jc w:val="both"/>
      <w:spacing w:before="80" w:after="0" w:line="252" w:lineRule="auto"/>
      <w:widowControl w:val="off"/>
    </w:pPr>
    <w:rPr>
      <w:sz w:val="20"/>
      <w:szCs w:val="20"/>
    </w:rPr>
  </w:style>
  <w:style w:type="paragraph" w:styleId="847">
    <w:name w:val="List"/>
    <w:basedOn w:val="846"/>
    <w:next w:val="847"/>
    <w:link w:val="832"/>
    <w:rPr>
      <w:rFonts w:cs="Droid Sans Devanagari"/>
    </w:rPr>
  </w:style>
  <w:style w:type="paragraph" w:styleId="848">
    <w:name w:val="Caption"/>
    <w:basedOn w:val="832"/>
    <w:next w:val="84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9">
    <w:name w:val="Указатель"/>
    <w:basedOn w:val="832"/>
    <w:next w:val="849"/>
    <w:link w:val="832"/>
    <w:pPr>
      <w:suppressLineNumbers/>
    </w:pPr>
    <w:rPr>
      <w:rFonts w:cs="Droid Sans Devanagari"/>
    </w:rPr>
  </w:style>
  <w:style w:type="paragraph" w:styleId="850">
    <w:name w:val="Caption1"/>
    <w:basedOn w:val="832"/>
    <w:next w:val="85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1">
    <w:name w:val="Caption11"/>
    <w:basedOn w:val="832"/>
    <w:next w:val="85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2">
    <w:name w:val="Caption111"/>
    <w:basedOn w:val="832"/>
    <w:next w:val="85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3">
    <w:name w:val="Caption1111"/>
    <w:basedOn w:val="832"/>
    <w:next w:val="85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4">
    <w:name w:val="Caption11111"/>
    <w:basedOn w:val="832"/>
    <w:next w:val="85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5">
    <w:name w:val="Caption111111"/>
    <w:basedOn w:val="832"/>
    <w:next w:val="85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6">
    <w:name w:val="Caption1111111"/>
    <w:basedOn w:val="832"/>
    <w:next w:val="856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7">
    <w:name w:val="Caption11111111"/>
    <w:basedOn w:val="832"/>
    <w:next w:val="85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8">
    <w:name w:val="Caption111111111"/>
    <w:basedOn w:val="832"/>
    <w:next w:val="85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9">
    <w:name w:val="Caption1111111111"/>
    <w:basedOn w:val="832"/>
    <w:next w:val="85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0">
    <w:name w:val="Caption11111111111"/>
    <w:basedOn w:val="832"/>
    <w:next w:val="86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1">
    <w:name w:val="Caption111111111111"/>
    <w:basedOn w:val="832"/>
    <w:next w:val="86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2">
    <w:name w:val="Caption1111111111111"/>
    <w:basedOn w:val="832"/>
    <w:next w:val="86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3">
    <w:name w:val="Caption11111111111111"/>
    <w:basedOn w:val="832"/>
    <w:next w:val="86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4">
    <w:name w:val="Caption111111111111111"/>
    <w:basedOn w:val="832"/>
    <w:next w:val="86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5">
    <w:name w:val="Caption1111111111111111"/>
    <w:basedOn w:val="832"/>
    <w:next w:val="86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6">
    <w:name w:val="Caption11111111111111111"/>
    <w:basedOn w:val="832"/>
    <w:next w:val="866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7">
    <w:name w:val="Caption111111111111111111"/>
    <w:basedOn w:val="832"/>
    <w:next w:val="86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8">
    <w:name w:val="Caption1111111111111111111"/>
    <w:basedOn w:val="832"/>
    <w:next w:val="86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69">
    <w:name w:val="Caption11111111111111111111"/>
    <w:basedOn w:val="832"/>
    <w:next w:val="86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0">
    <w:name w:val="Caption111111111111111111111"/>
    <w:basedOn w:val="832"/>
    <w:next w:val="87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1">
    <w:name w:val="Caption1111111111111111111111"/>
    <w:basedOn w:val="832"/>
    <w:next w:val="871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2">
    <w:name w:val="Caption11111111111111111111111"/>
    <w:basedOn w:val="832"/>
    <w:next w:val="872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3">
    <w:name w:val="Caption111111111111111111111111"/>
    <w:basedOn w:val="832"/>
    <w:next w:val="873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4">
    <w:name w:val="Caption1111111111111111111111111"/>
    <w:basedOn w:val="832"/>
    <w:next w:val="874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5">
    <w:name w:val="Caption11111111111111111111111111"/>
    <w:basedOn w:val="832"/>
    <w:next w:val="875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6">
    <w:name w:val="Caption111111111111111111111111111"/>
    <w:basedOn w:val="832"/>
    <w:next w:val="876"/>
    <w:link w:val="868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7">
    <w:name w:val="Caption1111111111111111111111111111"/>
    <w:basedOn w:val="832"/>
    <w:next w:val="877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8">
    <w:name w:val="Caption11111111111111111111111111111"/>
    <w:basedOn w:val="832"/>
    <w:next w:val="87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9">
    <w:name w:val="Caption111111111111111111111111111111"/>
    <w:basedOn w:val="832"/>
    <w:next w:val="879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0">
    <w:name w:val="Caption1111111111111111111111111111111"/>
    <w:basedOn w:val="832"/>
    <w:next w:val="88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1">
    <w:name w:val="Название объекта"/>
    <w:basedOn w:val="832"/>
    <w:next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2">
    <w:name w:val="Указатель1"/>
    <w:basedOn w:val="832"/>
    <w:next w:val="882"/>
    <w:link w:val="832"/>
    <w:pPr>
      <w:suppressLineNumbers/>
    </w:pPr>
    <w:rPr>
      <w:rFonts w:cs="Droid Sans Devanagari"/>
    </w:rPr>
  </w:style>
  <w:style w:type="paragraph" w:styleId="883">
    <w:name w:val="Caption11111111111111111111111111111111"/>
    <w:basedOn w:val="832"/>
    <w:next w:val="883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4">
    <w:name w:val="Caption111111111111111111111111111111111"/>
    <w:basedOn w:val="832"/>
    <w:next w:val="884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5">
    <w:name w:val="Caption1111111111111111111111111111111111"/>
    <w:basedOn w:val="832"/>
    <w:next w:val="885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86">
    <w:name w:val="Текст выноски"/>
    <w:basedOn w:val="832"/>
    <w:next w:val="886"/>
    <w:rPr>
      <w:rFonts w:ascii="Tahoma" w:hAnsi="Tahoma" w:cs="Tahoma"/>
      <w:sz w:val="16"/>
      <w:szCs w:val="16"/>
    </w:rPr>
  </w:style>
  <w:style w:type="paragraph" w:styleId="887">
    <w:name w:val="Body Text 2"/>
    <w:basedOn w:val="832"/>
    <w:next w:val="887"/>
    <w:link w:val="832"/>
    <w:pPr>
      <w:jc w:val="both"/>
    </w:pPr>
    <w:rPr>
      <w:szCs w:val="20"/>
    </w:rPr>
  </w:style>
  <w:style w:type="paragraph" w:styleId="888">
    <w:name w:val="Обычный + 12 пт"/>
    <w:basedOn w:val="832"/>
    <w:next w:val="888"/>
    <w:link w:val="832"/>
    <w:pPr>
      <w:ind w:left="0" w:right="0" w:firstLine="720"/>
      <w:jc w:val="both"/>
      <w:tabs>
        <w:tab w:val="left" w:pos="4678" w:leader="none"/>
      </w:tabs>
    </w:pPr>
  </w:style>
  <w:style w:type="paragraph" w:styleId="889">
    <w:name w:val="Обычный (веб)"/>
    <w:basedOn w:val="832"/>
    <w:next w:val="889"/>
    <w:link w:val="832"/>
    <w:pPr>
      <w:spacing w:before="280" w:after="280"/>
    </w:pPr>
  </w:style>
  <w:style w:type="paragraph" w:styleId="890">
    <w:name w:val="western"/>
    <w:basedOn w:val="832"/>
    <w:next w:val="890"/>
    <w:link w:val="832"/>
    <w:pPr>
      <w:spacing w:before="280" w:after="280"/>
    </w:pPr>
  </w:style>
  <w:style w:type="paragraph" w:styleId="891">
    <w:name w:val="ConsPlusNormal"/>
    <w:next w:val="891"/>
    <w:link w:val="832"/>
    <w:pPr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92">
    <w:name w:val="Текст примечания1"/>
    <w:basedOn w:val="832"/>
    <w:next w:val="892"/>
    <w:link w:val="832"/>
    <w:rPr>
      <w:sz w:val="20"/>
      <w:szCs w:val="20"/>
    </w:rPr>
  </w:style>
  <w:style w:type="paragraph" w:styleId="893">
    <w:name w:val="Тема примечания"/>
    <w:basedOn w:val="892"/>
    <w:next w:val="892"/>
    <w:link w:val="832"/>
    <w:rPr>
      <w:b/>
      <w:bCs/>
    </w:rPr>
  </w:style>
  <w:style w:type="paragraph" w:styleId="894">
    <w:name w:val="Содержимое таблицы"/>
    <w:basedOn w:val="832"/>
    <w:next w:val="894"/>
    <w:link w:val="832"/>
    <w:pPr>
      <w:widowControl w:val="off"/>
      <w:suppressLineNumbers/>
    </w:pPr>
  </w:style>
  <w:style w:type="paragraph" w:styleId="895">
    <w:name w:val="Заголовок таблицы"/>
    <w:basedOn w:val="894"/>
    <w:next w:val="895"/>
    <w:link w:val="832"/>
    <w:pPr>
      <w:jc w:val="center"/>
      <w:suppressLineNumbers/>
    </w:pPr>
    <w:rPr>
      <w:b/>
      <w:bCs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Контракту от «___» ___________ 2007 года № ___________</dc:title>
  <dc:creator>Седова</dc:creator>
  <cp:lastModifiedBy>lilia.yezhova</cp:lastModifiedBy>
  <cp:revision>157</cp:revision>
  <dcterms:created xsi:type="dcterms:W3CDTF">2024-03-31T11:20:00Z</dcterms:created>
  <dcterms:modified xsi:type="dcterms:W3CDTF">2026-01-20T07:25:17Z</dcterms:modified>
</cp:coreProperties>
</file>