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center"/>
        <w:spacing w:line="240" w:lineRule="auto"/>
        <w:widowControl w:val="off"/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Информационное сообщение о проведении торгов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jc w:val="center"/>
        <w:spacing w:line="240" w:lineRule="auto"/>
        <w:widowControl w:val="off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40"/>
        <w:jc w:val="both"/>
        <w:spacing w:line="240" w:lineRule="auto"/>
        <w:rPr>
          <w:rFonts w:ascii="Times New Roman" w:hAnsi="Times New Roman"/>
          <w:sz w:val="20"/>
        </w:rPr>
      </w:pPr>
      <w:r>
        <w:rPr>
          <w:sz w:val="20"/>
        </w:rPr>
        <w:t xml:space="preserve">Терр</w:t>
      </w:r>
      <w:r>
        <w:rPr>
          <w:sz w:val="20"/>
        </w:rPr>
        <w:t xml:space="preserve">иториальное управление Федерального агентства по управлению государственным имуществом в Калининградской области – Организатор торгов (ОГРН: 1103926011177, г. Калининград, ул. Курортная, 1, тел. 8 (4012) 67-72-11; факс 8 (4012) 67-72-00), руководствуясь Гр</w:t>
      </w:r>
      <w:r>
        <w:rPr>
          <w:sz w:val="20"/>
        </w:rPr>
        <w:t xml:space="preserve">ажданским Кодексом РФ, Федеральным законом № 229-ФЗ от 02.10.2007 года «Об исполнительном производстве», Федеральным законом № 102-ФЗ от 16.07.1998 «Об ипотеке (залоге недвижимости), сообщает о проведении торгов по продаже залогового недвижимого имущества.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numPr>
          <w:ilvl w:val="0"/>
          <w:numId w:val="1"/>
        </w:numPr>
        <w:ind w:left="0" w:right="0" w:firstLine="567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Понятия и термины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- Организатор торгов (Продавец) - </w:t>
      </w:r>
      <w:r>
        <w:rPr>
          <w:sz w:val="20"/>
        </w:rPr>
        <w:t xml:space="preserve">Территориальное управление Федерального агентства по управлению государственным имуществом в Калининградской области (ОГРН 1103926011177, г. Калининград, ул. Курортная, 1, тел. 8 (4012) 67-72-11; факс 8(4012) 67-72-00)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color w:val="000000"/>
          <w:sz w:val="20"/>
        </w:rPr>
      </w:pPr>
      <w:r>
        <w:rPr>
          <w:sz w:val="20"/>
        </w:rPr>
        <w:t xml:space="preserve">-</w:t>
      </w:r>
      <w:r>
        <w:rPr>
          <w:b/>
          <w:color w:val="000000"/>
          <w:sz w:val="20"/>
        </w:rPr>
        <w:t xml:space="preserve"> Предмет торгов</w:t>
      </w:r>
      <w:r>
        <w:rPr>
          <w:color w:val="000000"/>
          <w:sz w:val="20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об обращении взыскания на имущество (далее – имущество);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- </w:t>
      </w:r>
      <w:r>
        <w:rPr>
          <w:b/>
          <w:color w:val="000000"/>
          <w:sz w:val="20"/>
        </w:rPr>
        <w:t xml:space="preserve">Открытый аукцион в электронной форме (торги)</w:t>
      </w:r>
      <w:r>
        <w:rPr>
          <w:color w:val="000000"/>
          <w:sz w:val="20"/>
        </w:rPr>
        <w:t xml:space="preserve"> – аукцион по продаже арестованного имущества,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</w:t>
      </w:r>
      <w:r>
        <w:rPr>
          <w:sz w:val="20"/>
        </w:rPr>
        <w:t xml:space="preserve"> </w:t>
      </w:r>
      <w:hyperlink r:id="rId9" w:tooltip="https://www.rts-tender.ru/" w:history="1">
        <w:r>
          <w:rPr>
            <w:sz w:val="20"/>
          </w:rPr>
          <w:t xml:space="preserve">https://www.rts-tender.ru</w:t>
        </w:r>
      </w:hyperlink>
      <w:r>
        <w:rPr>
          <w:color w:val="000000"/>
          <w:sz w:val="20"/>
        </w:rPr>
        <w:t xml:space="preserve"> (далее – аукцион, торги);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color w:val="000000"/>
          <w:sz w:val="20"/>
        </w:rPr>
      </w:pPr>
      <w:r>
        <w:rPr>
          <w:sz w:val="20"/>
        </w:rPr>
        <w:t xml:space="preserve">- </w:t>
      </w:r>
      <w:r>
        <w:rPr>
          <w:b/>
          <w:color w:val="000000"/>
          <w:sz w:val="20"/>
        </w:rPr>
        <w:t xml:space="preserve">Минимальная начальная цена продажи имущества</w:t>
      </w:r>
      <w:r>
        <w:rPr>
          <w:color w:val="000000"/>
          <w:sz w:val="20"/>
        </w:rPr>
        <w:t xml:space="preserve"> – стоимость имущества, установлена в постановлении судебного пристава-исполнителя, передавшего имущество на реализацию;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-</w:t>
      </w:r>
      <w:r>
        <w:rPr>
          <w:b/>
          <w:sz w:val="20"/>
        </w:rPr>
        <w:t xml:space="preserve"> Заявка на участие в аукционе - </w:t>
      </w:r>
      <w:r>
        <w:rPr>
          <w:sz w:val="20"/>
        </w:rPr>
        <w:t xml:space="preserve">полный комплект документов, предоставляемый заявителем продавцу для участия в аукционе (далее – заявка);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- </w:t>
      </w:r>
      <w:r>
        <w:rPr>
          <w:b/>
          <w:sz w:val="20"/>
        </w:rPr>
        <w:t xml:space="preserve">Заявитель</w:t>
      </w:r>
      <w:r>
        <w:rPr>
          <w:sz w:val="20"/>
        </w:rPr>
        <w:t xml:space="preserve"> - лицо, подающее продавцу заявку;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- </w:t>
      </w:r>
      <w:r>
        <w:rPr>
          <w:b/>
          <w:sz w:val="20"/>
        </w:rPr>
        <w:t xml:space="preserve">Претендент</w:t>
      </w:r>
      <w:r>
        <w:rPr>
          <w:sz w:val="20"/>
        </w:rPr>
        <w:t xml:space="preserve"> - лицо, чья заявка принята оператором электронной площадки;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- </w:t>
      </w:r>
      <w:r>
        <w:rPr>
          <w:b/>
          <w:sz w:val="20"/>
        </w:rPr>
        <w:t xml:space="preserve">Участник торгов</w:t>
      </w:r>
      <w:r>
        <w:rPr>
          <w:sz w:val="20"/>
        </w:rPr>
        <w:t xml:space="preserve"> - претендент, допущенный комиссией по проведению торгов по реализации имущества к участию в торгах.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numPr>
          <w:ilvl w:val="0"/>
          <w:numId w:val="1"/>
        </w:numPr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Правовое регулирование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Настоящий аукцион проводится в соответствии с положениями Гражданского кодекса Российской Федерации, Федерального закона</w:t>
      </w:r>
      <w:r>
        <w:rPr>
          <w:sz w:val="20"/>
        </w:rPr>
        <w:t xml:space="preserve"> от 26.07.2006г. № 135-ФЗ «О защите конкуренции», Федерального закона от 02.10.2007г. № 227-ФЗ «Об исполнительном производстве» и иных нормативных правовых актов Российской Федерации, а также регламентом электронной торговой площадки, размещенным на сайте </w:t>
      </w:r>
      <w:hyperlink r:id="rId10" w:tooltip="https://www.rts-tender.ru/" w:history="1">
        <w:r>
          <w:rPr>
            <w:sz w:val="20"/>
          </w:rPr>
          <w:t xml:space="preserve">https://www.rts-tender.ru</w:t>
        </w:r>
      </w:hyperlink>
      <w:r>
        <w:rPr>
          <w:sz w:val="20"/>
        </w:rPr>
        <w:t xml:space="preserve"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Торги проводятся в форме аукциона (открытого по составу участников и открытого по форме подачи предложения о цене) в электронной форме на электронной площадке </w:t>
      </w:r>
      <w:r>
        <w:rPr>
          <w:sz w:val="20"/>
        </w:rPr>
        <w:t xml:space="preserve">«РТС-Тендер»</w:t>
      </w:r>
      <w:r>
        <w:rPr>
          <w:color w:val="000000"/>
          <w:sz w:val="20"/>
        </w:rPr>
        <w:t xml:space="preserve">, находящейся в сети интернет по адресу: </w:t>
      </w:r>
      <w:hyperlink r:id="rId11" w:tooltip="https://www.rts-tender.ru/" w:history="1">
        <w:r>
          <w:rPr>
            <w:sz w:val="20"/>
          </w:rPr>
          <w:t xml:space="preserve">https://www.rts-tender.ru</w:t>
        </w:r>
      </w:hyperlink>
      <w:r>
        <w:rPr>
          <w:color w:val="000000"/>
          <w:sz w:val="20"/>
        </w:rPr>
        <w:t xml:space="preserve">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851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Извещение опубликовано на сайтах: http://tu39.rosim.gov.ru, https://torgi.gov.ru/new, на электронной площадке «РТС-Тендер», в региональном печатном издании «Комсомольская правда» № 8 (27754) от 06.02</w:t>
      </w:r>
      <w:r>
        <w:rPr>
          <w:sz w:val="20"/>
        </w:rPr>
        <w:t xml:space="preserve">.2026 г.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numPr>
          <w:ilvl w:val="0"/>
          <w:numId w:val="1"/>
        </w:numPr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Требования к составу заявки на участие в аукционе и Порядок подачи заявок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3.1. Заявки подаются заявителем п</w:t>
      </w:r>
      <w:r>
        <w:rPr>
          <w:sz w:val="20"/>
        </w:rPr>
        <w:t xml:space="preserve">о форме, утверждаемой продавцом, (форма заявки размещена на официальном сайте Росимущества в сети "Интернет": http://tu39.rosim.gov.ru, официальном сайте Российской Федерации в сети "Интернет": https://torgi.gov.ru/new, на сайте электронной площадки сайте </w:t>
      </w:r>
      <w:hyperlink r:id="rId12" w:tooltip="https://www.rts-tender.ru/" w:history="1">
        <w:r>
          <w:rPr>
            <w:sz w:val="20"/>
          </w:rPr>
          <w:t xml:space="preserve">https://www.rts-tender.ru</w:t>
        </w:r>
      </w:hyperlink>
      <w:r>
        <w:rPr>
          <w:sz w:val="20"/>
        </w:rPr>
        <w:t xml:space="preserve">,).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3.2. В состав заявки входят следующие документы: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1) платежный документ с отметкой банка об исполнении, подтверждающий внесение заявителем задатка в счет обеспечения оплаты приобретения имущества на указанный в информационном сообщении счет;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2) заявка, образец размещен на сайтах http://tu39.rosim.gov.ru, https://torgi.gov.ru/new, на сайте электронной площадки «РТС-Тендер», описки, исправления, помарки, зачеркнутые слова не допускаются;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</w:t>
      </w:r>
      <w:r>
        <w:rPr>
          <w:sz w:val="20"/>
        </w:rPr>
        <w:t xml:space="preserve">но заверенная копия такой доверенности (в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лица);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left"/>
        <w:spacing w:before="0" w:after="0" w:line="240" w:lineRule="auto"/>
        <w:widowControl/>
        <w:rPr>
          <w:rFonts w:ascii="Times New Roman" w:hAnsi="Times New Roman"/>
          <w:sz w:val="20"/>
          <w:szCs w:val="20"/>
          <w:highlight w:val="none"/>
        </w:rPr>
      </w:pPr>
      <w:r>
        <w:rPr>
          <w:sz w:val="20"/>
        </w:rPr>
        <w:t xml:space="preserve">4) </w:t>
      </w:r>
      <w:r>
        <w:rPr>
          <w:b/>
          <w:bCs/>
          <w:sz w:val="24"/>
          <w:szCs w:val="24"/>
        </w:rPr>
        <w:t xml:space="preserve"> </w:t>
      </w:r>
      <w:r>
        <w:rPr>
          <w:b w:val="0"/>
          <w:bCs w:val="0"/>
          <w:sz w:val="20"/>
          <w:szCs w:val="20"/>
        </w:rPr>
        <w:t xml:space="preserve">согласие на обработку персональных данных, образец размещен на сайтах http://tu39.rosim.gov.ru, https://torgi.gov.ru/new, на сайте электронной площадки «РТС-Тендер»;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60"/>
        <w:ind w:left="0" w:right="0" w:firstLine="567"/>
        <w:jc w:val="left"/>
        <w:spacing w:before="0" w:after="0" w:line="240" w:lineRule="auto"/>
        <w:widowControl/>
        <w:rPr>
          <w:rFonts w:ascii="Times New Roman" w:hAnsi="Times New Roman"/>
          <w:sz w:val="20"/>
          <w:szCs w:val="20"/>
        </w:rPr>
      </w:pPr>
      <w:r>
        <w:rPr>
          <w:sz w:val="20"/>
        </w:rPr>
        <w:t xml:space="preserve">5) декларация о соответствии требованиям п. 5 ст. 449.1 ГК РФ (в письменном виде, в свободной форме);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6)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- </w:t>
      </w:r>
      <w:r>
        <w:rPr>
          <w:sz w:val="20"/>
        </w:rPr>
        <w:t xml:space="preserve">для юридических лиц: полученная не ранее чем за шесть месяцев до даты размещения на официальном сайте торгов извещения о проведении аукциона копия выписки из единого государственного реестра юридических лиц; заверенные копии учредительных документов заявит</w:t>
      </w:r>
      <w:r>
        <w:rPr>
          <w:sz w:val="20"/>
        </w:rPr>
        <w:t xml:space="preserve">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документ, подтверждающий полномочия лица на осуществление действий от имени заявителя; </w:t>
      </w:r>
      <w:r>
        <w:rPr>
          <w:color w:val="000000"/>
          <w:sz w:val="20"/>
        </w:rPr>
        <w:t xml:space="preserve">декларация о соответствии требованиям п. 5 ст. 449.1 ГК РФ (в письменном виде, в свободной форме)</w:t>
      </w:r>
      <w:r>
        <w:rPr>
          <w:sz w:val="20"/>
        </w:rPr>
        <w:t xml:space="preserve">; 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- для индивидуальных предпринимателей: полученная не ранее чем за шесть месяцев до даты размещения на официальном сайте торгов извещения о проведении аукциона копия</w:t>
      </w:r>
      <w:r>
        <w:rPr>
          <w:sz w:val="20"/>
        </w:rPr>
        <w:t xml:space="preserve"> выписки из единого государственного реестра индивидуальных предпринимателей; копия паспорта заявителя (все листы); нотариально заверенная доверенность на лицо, уполномоченное действовать от имени заявителя в случае подачи заявки представителем заявителя; </w:t>
      </w:r>
      <w:r>
        <w:rPr>
          <w:color w:val="000000"/>
          <w:sz w:val="20"/>
        </w:rPr>
        <w:t xml:space="preserve">декларация о соответствии  требованиям п. 5 ст. 449.1 ГК РФ (в письменном виде, в свободной форме)</w:t>
      </w:r>
      <w:r>
        <w:rPr>
          <w:sz w:val="20"/>
        </w:rPr>
        <w:t xml:space="preserve">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- для физических лиц: копия паспо</w:t>
      </w:r>
      <w:r>
        <w:rPr>
          <w:sz w:val="20"/>
        </w:rPr>
        <w:t xml:space="preserve">рта заявителя (все листы); нотариально заверенная доверенность представителя физического лица в случае подачи заявки представителем заявителя или документ, подтверждающий полномочия лица на осуществление действий от имени заявителя в соответствии с ГК РФ; </w:t>
      </w:r>
      <w:r>
        <w:rPr>
          <w:color w:val="000000"/>
          <w:sz w:val="20"/>
        </w:rPr>
        <w:t xml:space="preserve">декларация о соответствии требованиям п. 5 ст. 449.1 ГК РФ (в письменном виде, в свободной форме)</w:t>
      </w:r>
      <w:r>
        <w:rPr>
          <w:sz w:val="20"/>
        </w:rPr>
        <w:t xml:space="preserve">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- для ино</w:t>
      </w:r>
      <w:r>
        <w:rPr>
          <w:sz w:val="20"/>
        </w:rPr>
        <w:t xml:space="preserve">странных граждан и иностранных юридических лиц: заявка на участие в торгах по установленной форме;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</w:t>
      </w:r>
      <w:r>
        <w:rPr>
          <w:sz w:val="20"/>
        </w:rPr>
        <w:t xml:space="preserve">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 в случае подачи заявки представителем заявителя; </w:t>
      </w:r>
      <w:r>
        <w:rPr>
          <w:color w:val="000000"/>
          <w:sz w:val="20"/>
        </w:rPr>
        <w:t xml:space="preserve">декларация о соответствии требованиям п. 5 ст. 449.1 ГК РФ (в письменном виде, в свободной форме)</w:t>
      </w:r>
      <w:r>
        <w:rPr>
          <w:sz w:val="20"/>
        </w:rPr>
        <w:t xml:space="preserve">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numPr>
          <w:ilvl w:val="0"/>
          <w:numId w:val="1"/>
        </w:numPr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Требования к участникам торгов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ab/>
        <w:t xml:space="preserve">К участию в торгах допускаются юридические и физические лица, представившие в оговоренные</w:t>
      </w:r>
      <w:r>
        <w:rPr>
          <w:sz w:val="20"/>
        </w:rPr>
        <w:t xml:space="preserve"> в информационном сообщении сроки, оформленные надлежащим образом документы, указанные в п. 3 настоящего информационного сообщения, претендующее на заключение договора, соответствующие требованиям настоящего информационного сообщения и законодательства РФ.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Согласно п. 5 ст. 449.1 ГК РФ в публичных торгах не могут участвовать должник, организации, на которые возложены оценка и реализация имущест</w:t>
      </w:r>
      <w:r>
        <w:rPr>
          <w:sz w:val="20"/>
        </w:rPr>
        <w:t xml:space="preserve">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numPr>
          <w:ilvl w:val="0"/>
          <w:numId w:val="1"/>
        </w:numPr>
        <w:ind w:left="0" w:right="0" w:firstLine="567"/>
        <w:jc w:val="both"/>
        <w:spacing w:line="240" w:lineRule="auto"/>
        <w:widowControl w:val="off"/>
        <w:tabs>
          <w:tab w:val="left" w:pos="0" w:leader="none"/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Уведомление о недопуске Заявителей к участию в аукционе 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Уведомление о недопуске Заявителя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времени. 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numPr>
          <w:ilvl w:val="0"/>
          <w:numId w:val="1"/>
        </w:numPr>
        <w:ind w:left="0" w:right="57" w:firstLine="567"/>
        <w:spacing w:line="240" w:lineRule="auto"/>
        <w:widowControl w:val="off"/>
        <w:tabs>
          <w:tab w:val="left" w:pos="0" w:leader="none"/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Порядок ознакомления с документами на имущество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rFonts w:ascii="Times New Roman" w:hAnsi="Times New Roman"/>
          <w:sz w:val="20"/>
        </w:rPr>
      </w:pPr>
      <w:r>
        <w:rPr>
          <w:sz w:val="20"/>
        </w:rPr>
        <w:t xml:space="preserve">Получить дополнительную информацию о торгах и о правилах их проведения, ознакомиться с формой заявления, с проектом договора купли-продажи, с имеющейся в наличии у организатора торгов информацией по арестованному имуществу можно на официальном сайте </w:t>
      </w:r>
      <w:hyperlink r:id="rId13" w:tooltip="https://torgi.gov.ru/" w:history="1">
        <w:r>
          <w:rPr>
            <w:sz w:val="20"/>
          </w:rPr>
          <w:t xml:space="preserve">https://torgi.gov.ru</w:t>
        </w:r>
      </w:hyperlink>
      <w:r>
        <w:rPr>
          <w:sz w:val="20"/>
          <w:u w:val="single"/>
        </w:rPr>
        <w:t xml:space="preserve">/new</w:t>
      </w:r>
      <w:r>
        <w:rPr>
          <w:sz w:val="20"/>
        </w:rPr>
        <w:t xml:space="preserve">, сайте электронной торговой площадки на сайте  </w:t>
      </w:r>
      <w:hyperlink r:id="rId14" w:tooltip="https://www.rts-tender.ru/" w:history="1">
        <w:r>
          <w:rPr>
            <w:sz w:val="20"/>
          </w:rPr>
          <w:t xml:space="preserve">https://www.rts-tender.ru</w:t>
        </w:r>
      </w:hyperlink>
      <w:r>
        <w:rPr>
          <w:sz w:val="20"/>
        </w:rPr>
        <w:t xml:space="preserve"> и сайте Росимущества в сети "Интернет" </w:t>
      </w:r>
      <w:r>
        <w:rPr>
          <w:sz w:val="20"/>
          <w:u w:val="single"/>
        </w:rPr>
        <w:t xml:space="preserve">http://tu39.rosim.gov.ru.</w:t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7. Порядок оформления и подачи заявки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Заявитель направляет </w:t>
      </w:r>
      <w:r>
        <w:rPr>
          <w:sz w:val="20"/>
        </w:rPr>
        <w:t xml:space="preserve">заявку с приложенными документами в установленный срок в форме скан-образов документов через электронную площадку. Документы, подаваемые юридическим лицом направляются в виде скан-образов документов, подписанных уполномоченным лицом и печатью организации. 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Заявка принимается электронной площадкой при условии наличия на счету заявителя достаточных денежных средств для обеспечения участия в аукционе, в сумме, установленной электронной площадкой в соответствии с нормативными документами электронной площадки.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Продавец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В день рассмотрения заявок заявителю электронной площадкой направляется уведомление о допуске/не допуске к участию в аукционе.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Заявитель вправе подать только одну заявку в отношении лота аукциона с полным пакетом документов по нему.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Заявитель подает заявку на участие в аукционе в сроки, установленные в информационном сообщении.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Заявитель несет все расходы, связанные с подготовкой и подачей своей заявки на участие в аукционе, а продавец не несет при этом обязательств по расходам, за исключением случаев, прямо предусмотренных действующим законодательством.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Подача заявки осуществляется через электронную площадку в соответствии с регламентом электронной торговой площадки, размещенным на сайте </w:t>
      </w:r>
      <w:hyperlink r:id="rId15" w:tooltip="https://www.rts-tender.ru/" w:history="1">
        <w:r>
          <w:rPr>
            <w:sz w:val="20"/>
          </w:rPr>
          <w:t xml:space="preserve">https://www.rts-tender.ru</w:t>
        </w:r>
      </w:hyperlink>
      <w:r>
        <w:rPr>
          <w:sz w:val="20"/>
        </w:rPr>
        <w:t xml:space="preserve"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Участие в торгах производится в соответствии с тарифами, установленными нормативными документами электронной площадки и размещенными на сайте </w:t>
      </w:r>
      <w:hyperlink r:id="rId16" w:tooltip="https://www.rts-tender.ru/" w:history="1">
        <w:r>
          <w:rPr>
            <w:sz w:val="20"/>
          </w:rPr>
          <w:t xml:space="preserve">https://www.rts-tender.ru</w:t>
        </w:r>
      </w:hyperlink>
      <w:r>
        <w:rPr>
          <w:sz w:val="20"/>
        </w:rPr>
        <w:t xml:space="preserve">, в разделе «Тарифы».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8. Порядок и срок отзыва заявок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Заявитель</w:t>
      </w:r>
      <w:r>
        <w:rPr>
          <w:sz w:val="20"/>
        </w:rPr>
        <w:t xml:space="preserve"> вправе отозвать заявку в любое время до момента окончания подачи заявок на участие в аукционе, путем направления соответствующего уведомления оператору электронной площадки, в соответствии с регламентом электронной торговой площадки, размещенным на сайте </w:t>
      </w:r>
      <w:hyperlink r:id="rId17" w:tooltip="https://www.rts-tender.ru/" w:history="1">
        <w:r>
          <w:rPr>
            <w:sz w:val="20"/>
          </w:rPr>
          <w:t xml:space="preserve">https://www.rts-tender.ru</w:t>
        </w:r>
      </w:hyperlink>
      <w:r>
        <w:rPr>
          <w:sz w:val="20"/>
        </w:rPr>
        <w:t xml:space="preserve"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851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9. Порядок приема и рассмотрения заявок на участие в аукционе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-142" w:right="0" w:firstLine="709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Срок начала подачи заявок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10 феврал</w:t>
      </w:r>
      <w:r>
        <w:rPr>
          <w:b/>
          <w:bCs/>
          <w:sz w:val="20"/>
        </w:rPr>
        <w:t xml:space="preserve">я </w:t>
      </w:r>
      <w:r>
        <w:rPr>
          <w:b/>
          <w:sz w:val="20"/>
        </w:rPr>
        <w:t xml:space="preserve">2026 г. в 10:00</w:t>
      </w:r>
      <w:r>
        <w:rPr>
          <w:sz w:val="20"/>
        </w:rPr>
        <w:t xml:space="preserve"> по московскому времени.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-142" w:right="0" w:firstLine="709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Срок окончания подачи заявок</w:t>
      </w:r>
      <w:r>
        <w:rPr>
          <w:b/>
          <w:bCs/>
          <w:sz w:val="20"/>
        </w:rPr>
        <w:t xml:space="preserve"> 26 феврал</w:t>
      </w:r>
      <w:r>
        <w:rPr>
          <w:b/>
          <w:bCs/>
          <w:sz w:val="20"/>
        </w:rPr>
        <w:t xml:space="preserve">я</w:t>
      </w:r>
      <w:r>
        <w:rPr>
          <w:b/>
          <w:sz w:val="20"/>
        </w:rPr>
        <w:t xml:space="preserve"> 2026 г. в 10:00</w:t>
      </w:r>
      <w:r>
        <w:rPr>
          <w:sz w:val="20"/>
        </w:rPr>
        <w:t xml:space="preserve"> по московскому времени.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-142" w:right="0" w:firstLine="709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Прием заявок осуществляется через оператора электронной площадки.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-142" w:right="0" w:firstLine="709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Аукционная комиссия рассматривает заявки на предмет соответствия требованиям, установленным в информационном сообщении об аукционе, и соответствия заявителей требованиям, установленным настоящей документацией. Рассмотрение заявок состоится </w:t>
      </w:r>
      <w:r>
        <w:rPr>
          <w:b/>
          <w:bCs/>
          <w:sz w:val="20"/>
        </w:rPr>
        <w:t xml:space="preserve">27 феврал</w:t>
      </w:r>
      <w:r>
        <w:rPr>
          <w:b/>
          <w:bCs/>
          <w:sz w:val="20"/>
        </w:rPr>
        <w:t xml:space="preserve">я </w:t>
      </w:r>
      <w:r>
        <w:rPr>
          <w:b/>
          <w:sz w:val="20"/>
        </w:rPr>
        <w:t xml:space="preserve">2026 г. </w:t>
      </w:r>
      <w:r>
        <w:rPr>
          <w:sz w:val="20"/>
        </w:rPr>
        <w:t xml:space="preserve">по месту нахождения продавца на ЭТП «РТС-Тендер». 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-142" w:right="0" w:firstLine="709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37"/>
        <w:contextualSpacing/>
        <w:ind w:left="567" w:right="0" w:firstLine="0"/>
        <w:jc w:val="both"/>
        <w:spacing w:before="0" w:after="0" w:line="240" w:lineRule="auto"/>
        <w:widowControl w:val="off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10. Порядок проведения аукциона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737"/>
        <w:contextualSpacing/>
        <w:ind w:left="0" w:right="0" w:firstLine="567"/>
        <w:jc w:val="both"/>
        <w:spacing w:before="0" w:after="0" w:line="240" w:lineRule="auto"/>
        <w:widowControl w:val="off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Аукцион проводится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03</w:t>
      </w:r>
      <w:r>
        <w:rPr>
          <w:rFonts w:ascii="Times New Roman" w:hAnsi="Times New Roman"/>
          <w:b/>
          <w:sz w:val="20"/>
        </w:rPr>
        <w:t xml:space="preserve"> марта</w:t>
      </w:r>
      <w:r>
        <w:rPr>
          <w:rFonts w:ascii="Times New Roman" w:hAnsi="Times New Roman"/>
          <w:b/>
          <w:sz w:val="20"/>
        </w:rPr>
        <w:t xml:space="preserve"> 2026 г. в 10 часов 00</w:t>
      </w:r>
      <w:r>
        <w:rPr>
          <w:rFonts w:ascii="Times New Roman" w:hAnsi="Times New Roman"/>
          <w:sz w:val="20"/>
        </w:rPr>
        <w:t xml:space="preserve"> минут по московскому времени на электронной торговой пл</w:t>
      </w:r>
      <w:r>
        <w:rPr>
          <w:rFonts w:ascii="Times New Roman" w:hAnsi="Times New Roman"/>
          <w:sz w:val="20"/>
        </w:rPr>
        <w:t xml:space="preserve">ощадке, находящейся в сети интернет по адресу https://www.rts-tender.ru, в соответствии со ст. 87, 89, 90 ФЗ от 02 октября 2007г. № 229-ФЗ «Об исполнительном производстве», ст. 447-449 ГК РФ, регламентом электронной торговой площадки, размещенным на сайте </w:t>
      </w:r>
      <w:hyperlink r:id="rId18" w:tooltip="https://www.rts-tender.ru/" w:history="1">
        <w:r>
          <w:rPr>
            <w:rFonts w:ascii="Times New Roman" w:hAnsi="Times New Roman"/>
            <w:sz w:val="20"/>
          </w:rPr>
          <w:t xml:space="preserve">https://www.rts-tender.ru</w:t>
        </w:r>
      </w:hyperlink>
      <w:r>
        <w:rPr>
          <w:rFonts w:ascii="Times New Roman" w:hAnsi="Times New Roman"/>
          <w:sz w:val="20"/>
        </w:rPr>
        <w:t xml:space="preserve"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37"/>
        <w:contextualSpacing/>
        <w:ind w:left="0" w:right="0" w:firstLine="567"/>
        <w:jc w:val="both"/>
        <w:spacing w:before="0" w:after="0" w:line="240" w:lineRule="auto"/>
        <w:widowControl w:val="off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В аукционе могут участвовать только заявители, признанные участниками торгов.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 же равной минимальной начальной цене продажи имущества.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Победителем торгов признается лицо, предложившее наиболее высокую цену за предмет торгов.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Протокол об итогах аукциона подписывается членами аукционной комиссии и победителем аук</w:t>
      </w:r>
      <w:r>
        <w:rPr>
          <w:color w:val="000000"/>
          <w:sz w:val="20"/>
        </w:rPr>
        <w:t xml:space="preserve">циона в день проведения торгов на электронной торговой площадке ООО «РТС-Тендер». Протокол об итогах аукциона размещается на электронной торговой площадке ООО «РТС-Тендер», официальном сайте не позднее следующего рабочего дня с момента проведения аукциона.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Данный протокол является основанием для заключения договора купли-продажи.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Оплата приобретаемого имущества победителем торгов производится в течение пяти рабочих дней с даты подписания протокола об итогах проведения аукциона на счет продавца.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737"/>
        <w:contextualSpacing/>
        <w:ind w:left="567" w:right="0" w:firstLine="0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11. Порядок заключения договора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contextualSpacing/>
        <w:ind w:left="0" w:right="0" w:firstLine="567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sz w:val="20"/>
        </w:rPr>
        <w:t xml:space="preserve">Договор купли-продажи заключается в электронной форме </w:t>
      </w:r>
      <w:r>
        <w:rPr>
          <w:color w:val="000000"/>
          <w:sz w:val="20"/>
        </w:rPr>
        <w:t xml:space="preserve">не ранее чем через 10 дней со дня подписания протокола о результатах торгов (в соответствии </w:t>
      </w:r>
      <w:r>
        <w:rPr>
          <w:sz w:val="20"/>
        </w:rPr>
        <w:t xml:space="preserve">с ч. 11 ст. 89 Федерального закона №229-ФЗ от 02.10.2007 года «Об исполнительном производстве»). 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contextualSpacing/>
        <w:ind w:left="0" w:right="0" w:firstLine="567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Победитель торгов самостоятельно осуществляет выселение должника (правообладателя), снятие арестов, запрето</w:t>
      </w:r>
      <w:r>
        <w:rPr>
          <w:color w:val="000000"/>
          <w:sz w:val="20"/>
        </w:rPr>
        <w:t xml:space="preserve">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На основании части 1 статьи 42 Федерального закона от 13.07.2015 года </w:t>
        <w:br/>
        <w:t xml:space="preserve">№ 218-ФЗ «О государственной регистрации недвижимости» договоры купли-продажи доли (долей) в общей долевой собственности на арестованный объе</w:t>
      </w:r>
      <w:r>
        <w:rPr>
          <w:color w:val="000000"/>
          <w:sz w:val="20"/>
        </w:rPr>
        <w:t xml:space="preserve">кт недвижимого имущества, в том числе при передаче на реализацию целиком (а не долей в нем), принадлежащего нескольким должникам, подлежат нотариальному удостоверению. Победитель торгов несет все расходы, связанные с удостоверением вышеуказанных договоров.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В случае нотариального удостоверения договора купли-продажи, Победитель предоставляет Продавцу нотариально заверенное согласие супруга на приобретение имущества не позднее дня заключения договора купли-продажи. 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В случае необходимости нотариального удостоверения сделки расходы оплачиваются покупателем.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567" w:right="0" w:firstLine="0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12. Признание торгов несостоявшимися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12.1. Продавец объявляет торги несостоявшимися, если: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1) заявки на участие в торгах подали менее двух лиц либо допущено к участию в торгах менее двух лиц;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2) </w:t>
      </w:r>
      <w:r>
        <w:rPr>
          <w:b w:val="0"/>
          <w:i w:val="0"/>
          <w:caps w:val="0"/>
          <w:smallCaps w:val="0"/>
          <w:color w:val="000000"/>
          <w:spacing w:val="0"/>
          <w:sz w:val="20"/>
          <w:highlight w:val="white"/>
        </w:rPr>
        <w:t xml:space="preserve">на торги не явились участники торгов либо явился один участник торгов;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3) из явившихся участников торгов никто не сделал надбавки к начальной цене имущества;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4) лицо, выигравшее торги, в течение пяти дней со дня проведения торгов не оплатило стоимость имущества в полном объеме.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567" w:right="0" w:firstLine="0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13. Порядок внесения задатка: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/>
          <w:sz w:val="20"/>
        </w:rPr>
      </w:pPr>
      <w:r>
        <w:rPr>
          <w:color w:val="000000"/>
          <w:sz w:val="20"/>
        </w:rPr>
        <w:t xml:space="preserve">Настоящее информационное сообщение является публичной офертой для</w:t>
      </w:r>
      <w:r>
        <w:rPr>
          <w:color w:val="000000"/>
          <w:sz w:val="20"/>
        </w:rPr>
        <w:t xml:space="preserve">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Задатки вносятся на счет: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sz w:val="20"/>
        </w:rPr>
      </w:pPr>
      <w:r>
        <w:rPr>
          <w:sz w:val="20"/>
        </w:rPr>
        <w:t xml:space="preserve">ООО «РТС-тендер» </w:t>
      </w:r>
      <w:r>
        <w:rPr>
          <w:sz w:val="20"/>
        </w:rPr>
      </w:r>
      <w:r>
        <w:rPr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Наименование банка Филиал «Корпоративный» ПАО «Совкомбанк»  </w:t>
      </w:r>
      <w:r>
        <w:rPr>
          <w:sz w:val="20"/>
        </w:rPr>
      </w:r>
      <w:r>
        <w:rPr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Расчетный счёт 40702810512030016362 </w:t>
      </w:r>
      <w:r>
        <w:rPr>
          <w:sz w:val="20"/>
        </w:rPr>
      </w:r>
      <w:r>
        <w:rPr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Корр. счёт 30101810445250000360 </w:t>
      </w:r>
      <w:r>
        <w:rPr>
          <w:sz w:val="20"/>
        </w:rPr>
      </w:r>
      <w:r>
        <w:rPr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БИК 044525360 </w:t>
      </w:r>
      <w:r>
        <w:rPr>
          <w:sz w:val="20"/>
        </w:rPr>
      </w:r>
      <w:r>
        <w:rPr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ИНН 7710357167 </w:t>
      </w:r>
      <w:r>
        <w:rPr>
          <w:sz w:val="20"/>
        </w:rPr>
      </w:r>
      <w:r>
        <w:rPr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КПП 773001001 </w:t>
      </w:r>
      <w:r>
        <w:rPr>
          <w:sz w:val="20"/>
        </w:rPr>
      </w:r>
      <w:r>
        <w:rPr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rFonts w:ascii="Times New Roman" w:hAnsi="Times New Roman"/>
          <w:sz w:val="20"/>
        </w:rPr>
      </w:pPr>
      <w:r>
        <w:rPr>
          <w:sz w:val="20"/>
        </w:rPr>
        <w:t xml:space="preserve">Задаток должен поступить на вышеуказанный счет не позднее срока окончания приема заявок на участие в торгах.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644" w:right="0" w:firstLine="0"/>
        <w:jc w:val="both"/>
        <w:spacing w:line="240" w:lineRule="auto"/>
        <w:widowControl w:val="off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14. Возврат задатка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Денежные средства, внесенные в качестве задатка на участие в аукционе победител</w:t>
      </w:r>
      <w:r>
        <w:rPr>
          <w:sz w:val="20"/>
        </w:rPr>
        <w:t xml:space="preserve">ем торгов зачитываются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Если торги не состоялись или отменены, задатки подлежат возврату заявителям.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Задаток возвращается также лицам, которые участвовали в торгах, но не выиграли их.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39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Возврат задатка осуществляет оператор электронной площадки в течение 5 (пяти) рабочих дней со дня подписания Протокола о результатах торгов.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60"/>
        <w:ind w:left="0" w:right="0" w:firstLine="539"/>
        <w:jc w:val="both"/>
        <w:spacing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15. Сведения о выставляемом на торги имуществе: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b/>
          <w:i/>
          <w:sz w:val="20"/>
        </w:rPr>
      </w:pPr>
      <w:r>
        <w:rPr>
          <w:b/>
          <w:i/>
          <w:sz w:val="20"/>
        </w:rPr>
        <w:t xml:space="preserve">На торги выставлено следующее арестованное залоговое недвижимое имущество: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rFonts w:ascii="Times New Roman" w:hAnsi="Times New Roman"/>
          <w:color w:val="000000"/>
          <w:sz w:val="20"/>
        </w:rPr>
      </w:pPr>
      <w:r>
        <w:rPr>
          <w:b/>
          <w:color w:val="000000"/>
          <w:sz w:val="20"/>
        </w:rPr>
        <w:t xml:space="preserve">4312. Лот № 1. </w:t>
      </w:r>
      <w:r>
        <w:rPr>
          <w:b w:val="0"/>
          <w:bCs w:val="0"/>
          <w:color w:val="000000"/>
          <w:sz w:val="20"/>
        </w:rPr>
        <w:t xml:space="preserve">1/2 доля квартиры - жилое помещение, общей площадью 58,3 кв. м, кадастровый номер 39:15:150829:534, местоположение по адресу: г. Калининград, ул. Машиностроительная, д. 42, кв. 9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highlight w:val="white"/>
        </w:rPr>
        <w:t xml:space="preserve">.</w:t>
      </w:r>
      <w:r>
        <w:rPr>
          <w:b w:val="0"/>
          <w:bCs w:val="0"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Обременение: </w:t>
      </w:r>
      <w:r>
        <w:rPr>
          <w:b w:val="0"/>
          <w:bCs w:val="0"/>
          <w:color w:val="000000"/>
          <w:sz w:val="20"/>
          <w:szCs w:val="20"/>
        </w:rPr>
        <w:t xml:space="preserve">запрещение регистрации, ипотека.</w:t>
      </w:r>
      <w:r>
        <w:rPr>
          <w:color w:val="000000"/>
          <w:sz w:val="20"/>
        </w:rPr>
        <w:t xml:space="preserve"> Правообладатель: Лукьяненко И.В.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color w:val="000000"/>
          <w:sz w:val="20"/>
        </w:rPr>
        <w:t xml:space="preserve">Начальная стоимость: 1 261 000,00 (один миллион двести шестьдесят одна тысяча) рублей 00 коп. Сумма задатка: 63 050,00 (шестьдесят три тысячи пятьдесят) рублей 00 коп. Шаг аукциона: 1% от начальной стоимости имущества.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spacing w:line="240" w:lineRule="auto"/>
        <w:rPr>
          <w:rFonts w:ascii="Times New Roman" w:hAnsi="Times New Roman"/>
          <w:color w:val="000000"/>
          <w:sz w:val="20"/>
        </w:rPr>
      </w:pPr>
      <w:r>
        <w:rPr>
          <w:b/>
          <w:color w:val="000000"/>
          <w:sz w:val="20"/>
        </w:rPr>
        <w:t xml:space="preserve">4335. Лот № 2. </w:t>
      </w:r>
      <w:r>
        <w:rPr>
          <w:b w:val="0"/>
          <w:i w:val="0"/>
          <w:caps w:val="0"/>
          <w:smallCaps w:val="0"/>
          <w:color w:val="000000"/>
          <w:spacing w:val="0"/>
          <w:sz w:val="20"/>
          <w:highlight w:val="white"/>
        </w:rPr>
        <w:t xml:space="preserve">Квартира - жилое помещение, общей площадью </w:t>
      </w:r>
      <w:r>
        <w:rPr>
          <w:b w:val="0"/>
          <w:i w:val="0"/>
          <w:caps w:val="0"/>
          <w:smallCaps w:val="0"/>
          <w:color w:val="000000"/>
          <w:spacing w:val="0"/>
          <w:sz w:val="20"/>
          <w:highlight w:val="white"/>
        </w:rPr>
        <w:t xml:space="preserve">36,1 кв. м, кадастровый номер 39:16:010705:247, местоположение по адресу: Калининградская обл., г. Советск, ул. 9 Января, д. 15, кв. 89</w:t>
      </w:r>
      <w:r>
        <w:rPr>
          <w:b w:val="0"/>
          <w:i w:val="0"/>
          <w:caps w:val="0"/>
          <w:smallCaps w:val="0"/>
          <w:color w:val="000000"/>
          <w:spacing w:val="0"/>
          <w:sz w:val="20"/>
          <w:highlight w:val="white"/>
        </w:rPr>
        <w:t xml:space="preserve">. </w:t>
      </w:r>
      <w:r>
        <w:rPr>
          <w:color w:val="000000"/>
          <w:sz w:val="20"/>
        </w:rPr>
        <w:t xml:space="preserve">Обременение: </w:t>
      </w:r>
      <w:r>
        <w:rPr>
          <w:b w:val="0"/>
          <w:bCs w:val="0"/>
          <w:color w:val="000000"/>
          <w:sz w:val="20"/>
          <w:szCs w:val="20"/>
        </w:rPr>
        <w:t xml:space="preserve">запрещение регистрации, </w:t>
      </w:r>
      <w:r>
        <w:rPr>
          <w:color w:val="000000"/>
          <w:sz w:val="20"/>
        </w:rPr>
        <w:t xml:space="preserve">ипотека. </w:t>
      </w:r>
      <w:r>
        <w:rPr>
          <w:color w:val="000000"/>
          <w:sz w:val="20"/>
        </w:rPr>
        <w:t xml:space="preserve">Правообладатель: Жукова М.Е.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color w:val="000000"/>
          <w:sz w:val="20"/>
        </w:rPr>
        <w:t xml:space="preserve">Начальная стоимость: 1 710 000,00 (один миллион семьсот десять тысяч) рублей 00 коп. Сумма задатка: 85 500,00 (восемьдесят пять тысяч пятьсот) рублей 00 коп. Шаг аукциона: 1% от начальной стоимости имущества.</w:t>
      </w:r>
      <w:r>
        <w:rPr>
          <w:rFonts w:ascii="Times New Roman" w:hAnsi="Times New Roman"/>
          <w:color w:val="000000"/>
          <w:sz w:val="20"/>
        </w:rPr>
      </w:r>
      <w:r>
        <w:rPr>
          <w:rFonts w:ascii="Times New Roman" w:hAnsi="Times New Roman"/>
          <w:color w:val="000000"/>
          <w:sz w:val="20"/>
        </w:rPr>
      </w:r>
    </w:p>
    <w:p>
      <w:pPr>
        <w:pStyle w:val="660"/>
        <w:ind w:left="0" w:right="0" w:firstLine="567"/>
        <w:jc w:val="both"/>
        <w:rPr>
          <w:sz w:val="20"/>
        </w:rPr>
      </w:pPr>
      <w:r>
        <w:rPr>
          <w:b/>
          <w:sz w:val="20"/>
          <w:szCs w:val="20"/>
        </w:rPr>
        <w:t xml:space="preserve">4378. Лот № 3.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highlight w:val="white"/>
        </w:rPr>
        <w:t xml:space="preserve">Квартира - жилое помещение, общей площадью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highlight w:val="white"/>
        </w:rPr>
        <w:t xml:space="preserve">83,5 кв. м, кадастровый номер 39:15:111506:901, этаж № 1, местоположение по адресу: г. Калининград, ул. Вагоностроительная, д. 3а, кв. 33</w:t>
      </w:r>
      <w:r>
        <w:rPr>
          <w:b w:val="0"/>
          <w:bCs w:val="0"/>
          <w:color w:val="000000"/>
          <w:sz w:val="20"/>
          <w:szCs w:val="20"/>
        </w:rPr>
        <w:t xml:space="preserve">. Обременение: запрещение регистрации, ипотека. Правообладатель: ООО «Технопарт».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b w:val="0"/>
          <w:bCs w:val="0"/>
          <w:color w:val="000000"/>
          <w:sz w:val="20"/>
          <w:szCs w:val="20"/>
        </w:rPr>
        <w:t xml:space="preserve">Начальная стоимость: 13 420 000,00 (тринадцать миллионов четыреста двадцать тысяч) рублей 00 коп. Сумма задатка: 671 000,00 (шестьсот семьдесят одна тысяча) рублей 00 коп.</w:t>
      </w:r>
      <w:r>
        <w:rPr>
          <w:b w:val="0"/>
          <w:bCs w:val="0"/>
          <w:sz w:val="20"/>
          <w:szCs w:val="20"/>
        </w:rPr>
        <w:t xml:space="preserve"> Шаг аукциона: 1% от начальной стоимости имущества.</w:t>
      </w:r>
      <w:r>
        <w:rPr>
          <w:sz w:val="20"/>
        </w:rPr>
      </w:r>
      <w:r>
        <w:rPr>
          <w:sz w:val="20"/>
        </w:rPr>
      </w:r>
    </w:p>
    <w:p>
      <w:pPr>
        <w:pStyle w:val="660"/>
        <w:ind w:left="0" w:right="0" w:firstLine="567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b/>
          <w:sz w:val="20"/>
          <w:szCs w:val="20"/>
        </w:rPr>
        <w:t xml:space="preserve">4383. Лот № 4.</w:t>
      </w:r>
      <w:r>
        <w:rPr>
          <w:b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 xml:space="preserve">Квартира - жилое помещение, общей площадью </w:t>
      </w:r>
      <w:r>
        <w:rPr>
          <w:b w:val="0"/>
          <w:bCs w:val="0"/>
          <w:color w:val="000000"/>
          <w:sz w:val="20"/>
          <w:szCs w:val="20"/>
        </w:rPr>
        <w:t xml:space="preserve">52,2 кв. м, кадастровый номер 39:03:010029:488, местоположение по адресу: Калининградская обл., г. Гурьевск, ул. Гурьева, д. 15а, кв. 4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highlight w:val="white"/>
        </w:rPr>
        <w:t xml:space="preserve">.</w:t>
      </w:r>
      <w:r>
        <w:rPr>
          <w:b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Обременение: </w:t>
      </w:r>
      <w:r>
        <w:rPr>
          <w:b w:val="0"/>
          <w:bCs w:val="0"/>
          <w:color w:val="000000"/>
          <w:sz w:val="20"/>
          <w:szCs w:val="20"/>
        </w:rPr>
        <w:t xml:space="preserve">запрещение регистрации, </w:t>
      </w:r>
      <w:r>
        <w:rPr>
          <w:b w:val="0"/>
          <w:bCs w:val="0"/>
          <w:sz w:val="20"/>
          <w:szCs w:val="20"/>
        </w:rPr>
        <w:t xml:space="preserve">ипотека. </w:t>
      </w:r>
      <w:r>
        <w:rPr>
          <w:b w:val="0"/>
          <w:bCs w:val="0"/>
          <w:color w:val="000000"/>
          <w:sz w:val="20"/>
          <w:szCs w:val="20"/>
        </w:rPr>
        <w:t xml:space="preserve">Правообладатель: Кивш Н.В.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b w:val="0"/>
          <w:bCs w:val="0"/>
          <w:sz w:val="20"/>
          <w:szCs w:val="20"/>
        </w:rPr>
        <w:t xml:space="preserve">Начальная стоимость: 4 580 800,00 (четыре миллиона пятьсот восемьдесят тысяч восемьсот) рублей 00 коп. Сумма задатка: 229 040,00 (двести двадцать девять тысяч сорок) рублей 00 коп. Шаг аукциона: 1% от начальной стоимости имущества.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60"/>
        <w:ind w:left="0" w:right="0" w:firstLine="567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b/>
          <w:sz w:val="20"/>
          <w:szCs w:val="20"/>
        </w:rPr>
        <w:t xml:space="preserve">4403. Лот № 5.</w:t>
      </w:r>
      <w:r>
        <w:rPr>
          <w:b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 xml:space="preserve">Квартира - жилое помещение, общей площадью </w:t>
      </w:r>
      <w:r>
        <w:rPr>
          <w:b w:val="0"/>
          <w:bCs w:val="0"/>
          <w:color w:val="000000"/>
          <w:sz w:val="20"/>
          <w:szCs w:val="20"/>
        </w:rPr>
        <w:t xml:space="preserve">34 кв. м, кадастровый номер 39:04:010122:111, местоположение по адресу: Калининградская обл., г. Гусев, ул. Железнодорожная, д. 3, кв. 6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highlight w:val="white"/>
        </w:rPr>
        <w:t xml:space="preserve">.</w:t>
      </w:r>
      <w:r>
        <w:rPr>
          <w:b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Обременение: </w:t>
      </w:r>
      <w:r>
        <w:rPr>
          <w:b w:val="0"/>
          <w:bCs w:val="0"/>
          <w:color w:val="000000"/>
          <w:sz w:val="20"/>
          <w:szCs w:val="20"/>
        </w:rPr>
        <w:t xml:space="preserve">запрещение регистрации, </w:t>
      </w:r>
      <w:r>
        <w:rPr>
          <w:b w:val="0"/>
          <w:bCs w:val="0"/>
          <w:sz w:val="20"/>
          <w:szCs w:val="20"/>
        </w:rPr>
        <w:t xml:space="preserve">ипотека. </w:t>
      </w:r>
      <w:r>
        <w:rPr>
          <w:b w:val="0"/>
          <w:bCs w:val="0"/>
          <w:color w:val="000000"/>
          <w:sz w:val="20"/>
          <w:szCs w:val="20"/>
        </w:rPr>
        <w:t xml:space="preserve">Правообладатель: Шипуло О.В.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b w:val="0"/>
          <w:bCs w:val="0"/>
          <w:sz w:val="20"/>
          <w:szCs w:val="20"/>
        </w:rPr>
        <w:t xml:space="preserve">Начальная стоимость: 1 710 000,00 (один миллион семьсот десять тысяч) рублей 00 коп. Сумма задатка: 85 500,00 (восемьдесят пять тысяч пятьсот) рублей 00 коп. Шаг аукциона: 1% от начальной стоимости имущества.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/>
          <w:sz w:val="20"/>
          <w:szCs w:val="20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/>
          <w:bCs w:val="0"/>
          <w:i/>
          <w:iCs/>
          <w:color w:val="000000"/>
          <w:sz w:val="20"/>
          <w:szCs w:val="20"/>
        </w:rPr>
        <w:t xml:space="preserve">На повторные торги со снижением цены на 15% выставлено следующее арестованное </w:t>
      </w:r>
      <w:r>
        <w:rPr>
          <w:b/>
          <w:bCs w:val="0"/>
          <w:i/>
          <w:color w:val="000000"/>
          <w:sz w:val="20"/>
          <w:szCs w:val="20"/>
        </w:rPr>
        <w:t xml:space="preserve">залоговое недвижимое имущество: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60"/>
        <w:ind w:left="0" w:right="0" w:firstLine="567"/>
        <w:jc w:val="both"/>
        <w:rPr>
          <w:b w:val="0"/>
          <w:bCs w:val="0"/>
          <w:sz w:val="20"/>
          <w:szCs w:val="20"/>
          <w:highlight w:val="none"/>
        </w:rPr>
      </w:pPr>
      <w:r>
        <w:rPr>
          <w:b/>
          <w:bCs w:val="0"/>
          <w:sz w:val="20"/>
          <w:szCs w:val="20"/>
        </w:rPr>
        <w:t xml:space="preserve">4271. Лот № 6.</w:t>
      </w:r>
      <w:r>
        <w:rPr>
          <w:b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highlight w:val="white"/>
        </w:rPr>
        <w:t xml:space="preserve">Квартира - жилое помещение, общей площадью 43,5 кв. м, кадастровый номер 39:15:141717:2675, этаж № 1, местоположение по адресу: г. Калининград, ул. Станиславского, д. 37д, кв. 2.</w:t>
      </w:r>
      <w:r>
        <w:rPr>
          <w:b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Обременение: з</w:t>
      </w:r>
      <w:r>
        <w:rPr>
          <w:b w:val="0"/>
          <w:bCs w:val="0"/>
          <w:color w:val="000000"/>
          <w:sz w:val="20"/>
          <w:szCs w:val="20"/>
        </w:rPr>
        <w:t xml:space="preserve">апрещение регистрации, </w:t>
      </w:r>
      <w:r>
        <w:rPr>
          <w:b w:val="0"/>
          <w:bCs w:val="0"/>
          <w:sz w:val="20"/>
          <w:szCs w:val="20"/>
        </w:rPr>
        <w:t xml:space="preserve">ипотека, арест. Правообладатель: Кошелев Н.Г.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b w:val="0"/>
          <w:bCs w:val="0"/>
          <w:sz w:val="20"/>
          <w:szCs w:val="20"/>
        </w:rPr>
        <w:t xml:space="preserve">Начальная стоимость: 2 566 320,00 (два миллиона пятьсот шестьдесят шесть тысяч триста двадцать) рублей 00 коп. Сумма задатка: 128 316,00 (сто двадцать восемь тысяч триста шестнадцать) рублей 00 коп. Шаг аукциона: 1% от начальной стоимости имущества.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Style w:val="660"/>
        <w:ind w:left="0" w:right="0" w:firstLine="567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b/>
          <w:sz w:val="20"/>
          <w:szCs w:val="20"/>
        </w:rPr>
        <w:t xml:space="preserve">4272. Лот № 7.</w:t>
      </w:r>
      <w:r>
        <w:rPr>
          <w:b w:val="0"/>
          <w:bCs w:val="0"/>
          <w:color w:val="000000"/>
          <w:sz w:val="20"/>
          <w:szCs w:val="20"/>
        </w:rPr>
        <w:t xml:space="preserve"> Квартира - жилое помещение, общей площадью 35,7 кв. м, кадастровый номер 39:15:140924:421, местоположение по адресу: г. Калининград, ул. Подполковника Емельянова, д. 88а, кв. 116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highlight w:val="white"/>
        </w:rPr>
        <w:t xml:space="preserve">.</w:t>
      </w:r>
      <w:r>
        <w:rPr>
          <w:b w:val="0"/>
          <w:bCs w:val="0"/>
          <w:sz w:val="20"/>
          <w:szCs w:val="20"/>
        </w:rPr>
        <w:t xml:space="preserve"> Обременение: ипотека. Правообладатель: Тканова А.Б.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b w:val="0"/>
          <w:bCs w:val="0"/>
          <w:sz w:val="20"/>
          <w:szCs w:val="20"/>
        </w:rPr>
        <w:t xml:space="preserve">Начальная стоимость: 1 917 600,00 (один миллион девятьсот семнадцать тысяч шестьсот) рублей 00 коп. Сумма задатка: 95 880,00 (девяносто пять тысяч восемьсот восемьдесят) рублей 00 коп. Шаг аукциона: 1% от начальной стоимости имущества.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60"/>
        <w:ind w:left="0" w:right="0" w:firstLine="0"/>
        <w:jc w:val="both"/>
        <w:spacing w:before="0" w:after="0" w:line="240" w:lineRule="auto"/>
        <w:widowControl/>
        <w:tabs>
          <w:tab w:val="left" w:pos="570" w:leader="none"/>
          <w:tab w:val="clear" w:pos="708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4273. Лот № 8.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highlight w:val="white"/>
        </w:rPr>
        <w:t xml:space="preserve">Квартира - жилое помещение, общей площадью 105,8 кв. м, кадастровый номер 39:01:010121:425, этаж № 1, местоположение по адресу: Калининградская обл., г. Багратионовск, ул. Пограничная, д. 75, кв. 1</w:t>
      </w:r>
      <w:r>
        <w:rPr>
          <w:b w:val="0"/>
          <w:bCs w:val="0"/>
          <w:color w:val="000000"/>
          <w:sz w:val="20"/>
          <w:szCs w:val="20"/>
        </w:rPr>
        <w:t xml:space="preserve">. Обременение: запрещение регистрации, ипотека. Правообладатель: Ченцова Ю.В.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b w:val="0"/>
          <w:bCs w:val="0"/>
          <w:color w:val="000000"/>
          <w:sz w:val="20"/>
          <w:szCs w:val="20"/>
        </w:rPr>
        <w:t xml:space="preserve">Начальная стоимость: 2 767 600,00 (два миллиона семьсот шестьдесят семь тысяч шестьсот) рублей 00 коп. Сумма задатка: 138 380,00 (сто тридцать восемь тысяч триста восемьдесят) рублей 00 коп.</w:t>
      </w:r>
      <w:r>
        <w:rPr>
          <w:b w:val="0"/>
          <w:bCs w:val="0"/>
          <w:sz w:val="20"/>
          <w:szCs w:val="20"/>
        </w:rPr>
        <w:t xml:space="preserve"> Шаг аукциона: 1% от начальной стоимости имущества.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60"/>
        <w:ind w:left="0" w:right="0" w:firstLine="567"/>
        <w:jc w:val="both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4274. Лот № 9.</w:t>
      </w:r>
      <w:r>
        <w:rPr>
          <w:b/>
          <w:color w:val="000000"/>
          <w:sz w:val="20"/>
          <w:szCs w:val="20"/>
        </w:rPr>
        <w:t xml:space="preserve">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highlight w:val="white"/>
        </w:rPr>
        <w:t xml:space="preserve">Квартира - жилое помещение, общей площадью 54,1 кв. м, кадастровый номер 39:03:080817:3276, местоположение по адресу: Калининградская обл., Гурьевский р-н, пос. Голубево, ул. Изумрудная, д. 2а, кв. 4.</w:t>
      </w:r>
      <w:r>
        <w:rPr>
          <w:b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Обременение: з</w:t>
      </w:r>
      <w:r>
        <w:rPr>
          <w:b w:val="0"/>
          <w:bCs w:val="0"/>
          <w:color w:val="000000"/>
          <w:sz w:val="20"/>
          <w:szCs w:val="20"/>
        </w:rPr>
        <w:t xml:space="preserve">апрещение регистрации, </w:t>
      </w:r>
      <w:r>
        <w:rPr>
          <w:b w:val="0"/>
          <w:bCs w:val="0"/>
          <w:sz w:val="20"/>
          <w:szCs w:val="20"/>
        </w:rPr>
        <w:t xml:space="preserve">ипотека. Правообладатель: Мотяшов С.А. </w:t>
      </w:r>
      <w:r>
        <w:rPr>
          <w:b w:val="0"/>
          <w:bCs w:val="0"/>
          <w:color w:val="000000"/>
          <w:sz w:val="20"/>
          <w:szCs w:val="20"/>
        </w:rPr>
        <w:t xml:space="preserve">Организатор торгов сведениями о зарегистрированных в жилом помещении лицах, информацией о задолженности должника по взносам на капитальный ремонт не располагает</w:t>
      </w:r>
      <w:r>
        <w:rPr>
          <w:b w:val="0"/>
          <w:bCs w:val="0"/>
          <w:color w:val="000000"/>
          <w:sz w:val="20"/>
          <w:szCs w:val="20"/>
        </w:rPr>
        <w:t xml:space="preserve"> (судебным приставом-исполнителем не представлены). </w:t>
      </w:r>
      <w:r>
        <w:rPr>
          <w:b w:val="0"/>
          <w:bCs w:val="0"/>
          <w:sz w:val="20"/>
          <w:szCs w:val="20"/>
        </w:rPr>
        <w:t xml:space="preserve">Начальная стоимость: 2 835 600,00 (два миллиона восемьсот тридцать пять тысяч шестьсот) рублей 00 коп. Сумма задатка: 141 780,00 (сто сорок одна тысяча семьсот восемьдесят) рублей 00 коп. Шаг аукциона: 1% от начальной стоимости имущества.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60"/>
        <w:ind w:left="0" w:right="0" w:firstLine="0"/>
        <w:jc w:val="both"/>
        <w:spacing w:before="0" w:after="0" w:line="240" w:lineRule="auto"/>
        <w:widowControl/>
        <w:tabs>
          <w:tab w:val="left" w:pos="570" w:leader="none"/>
          <w:tab w:val="clear" w:pos="708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b/>
          <w:bCs w:val="0"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851" w:right="845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Tahoma">
    <w:panose1 w:val="020B0604030504040204"/>
  </w:font>
  <w:font w:name="Droid Sans Devanagari">
    <w:panose1 w:val="020B06060308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Droid Sans Devanagari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footnote reference"/>
    <w:basedOn w:val="735"/>
    <w:uiPriority w:val="99"/>
    <w:unhideWhenUsed/>
    <w:rPr>
      <w:vertAlign w:val="superscript"/>
    </w:rPr>
  </w:style>
  <w:style w:type="character" w:styleId="659">
    <w:name w:val="endnote reference"/>
    <w:basedOn w:val="735"/>
    <w:uiPriority w:val="99"/>
    <w:semiHidden/>
    <w:unhideWhenUsed/>
    <w:rPr>
      <w:vertAlign w:val="superscript"/>
    </w:rPr>
  </w:style>
  <w:style w:type="paragraph" w:styleId="660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Droid Sans Devanagari"/>
      <w:color w:val="000000"/>
      <w:spacing w:val="0"/>
      <w:sz w:val="24"/>
      <w:szCs w:val="20"/>
      <w:lang w:val="ru-RU" w:eastAsia="zh-CN" w:bidi="hi-IN"/>
    </w:rPr>
  </w:style>
  <w:style w:type="paragraph" w:styleId="661">
    <w:name w:val="Heading 1"/>
    <w:next w:val="660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 w:eastAsia="Tahoma" w:cs="Droid Sans Devanagari"/>
      <w:b/>
      <w:color w:val="000000"/>
      <w:spacing w:val="0"/>
      <w:sz w:val="32"/>
      <w:szCs w:val="20"/>
      <w:lang w:val="ru-RU" w:eastAsia="zh-CN" w:bidi="hi-IN"/>
    </w:rPr>
  </w:style>
  <w:style w:type="paragraph" w:styleId="662">
    <w:name w:val="Heading 2"/>
    <w:next w:val="660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 w:eastAsia="Tahoma" w:cs="Droid Sans Devanagari"/>
      <w:b/>
      <w:color w:val="000000"/>
      <w:spacing w:val="0"/>
      <w:sz w:val="28"/>
      <w:szCs w:val="20"/>
      <w:lang w:val="ru-RU" w:eastAsia="zh-CN" w:bidi="hi-IN"/>
    </w:rPr>
  </w:style>
  <w:style w:type="paragraph" w:styleId="663">
    <w:name w:val="Heading 3"/>
    <w:next w:val="660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 w:eastAsia="Tahoma" w:cs="Droid Sans Devanagari"/>
      <w:b/>
      <w:color w:val="000000"/>
      <w:spacing w:val="0"/>
      <w:sz w:val="26"/>
      <w:szCs w:val="20"/>
      <w:lang w:val="ru-RU" w:eastAsia="zh-CN" w:bidi="hi-IN"/>
    </w:rPr>
  </w:style>
  <w:style w:type="paragraph" w:styleId="664">
    <w:name w:val="Heading 4"/>
    <w:next w:val="660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 w:eastAsia="Tahoma" w:cs="Droid Sans Devanagari"/>
      <w:b/>
      <w:color w:val="000000"/>
      <w:spacing w:val="0"/>
      <w:sz w:val="24"/>
      <w:szCs w:val="20"/>
      <w:lang w:val="ru-RU" w:eastAsia="zh-CN" w:bidi="hi-IN"/>
    </w:rPr>
  </w:style>
  <w:style w:type="paragraph" w:styleId="665">
    <w:name w:val="Heading 5"/>
    <w:next w:val="660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 w:eastAsia="Tahoma" w:cs="Droid Sans Devanagari"/>
      <w:b/>
      <w:color w:val="000000"/>
      <w:spacing w:val="0"/>
      <w:sz w:val="22"/>
      <w:szCs w:val="20"/>
      <w:lang w:val="ru-RU" w:eastAsia="zh-CN" w:bidi="hi-IN"/>
    </w:rPr>
  </w:style>
  <w:style w:type="paragraph" w:styleId="666">
    <w:name w:val="Heading 6"/>
    <w:basedOn w:val="660"/>
    <w:next w:val="66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1 Char"/>
    <w:basedOn w:val="696"/>
    <w:uiPriority w:val="9"/>
    <w:qFormat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6"/>
    <w:uiPriority w:val="9"/>
    <w:qFormat/>
    <w:rPr>
      <w:rFonts w:ascii="Arial" w:hAnsi="Arial" w:eastAsia="Arial" w:cs="Arial"/>
      <w:sz w:val="34"/>
    </w:rPr>
  </w:style>
  <w:style w:type="character" w:styleId="672">
    <w:name w:val="Heading 3 Char"/>
    <w:basedOn w:val="696"/>
    <w:uiPriority w:val="9"/>
    <w:qFormat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6"/>
    <w:uiPriority w:val="10"/>
    <w:qFormat/>
    <w:rPr>
      <w:sz w:val="48"/>
      <w:szCs w:val="48"/>
    </w:rPr>
  </w:style>
  <w:style w:type="character" w:styleId="680">
    <w:name w:val="Subtitle Char"/>
    <w:basedOn w:val="696"/>
    <w:uiPriority w:val="11"/>
    <w:qFormat/>
    <w:rPr>
      <w:sz w:val="24"/>
      <w:szCs w:val="24"/>
    </w:rPr>
  </w:style>
  <w:style w:type="character" w:styleId="681">
    <w:name w:val="Quote Char"/>
    <w:link w:val="721"/>
    <w:uiPriority w:val="29"/>
    <w:qFormat/>
    <w:rPr>
      <w:i/>
    </w:rPr>
  </w:style>
  <w:style w:type="character" w:styleId="682">
    <w:name w:val="Intense Quote Char"/>
    <w:link w:val="722"/>
    <w:uiPriority w:val="30"/>
    <w:qFormat/>
    <w:rPr>
      <w:i/>
    </w:rPr>
  </w:style>
  <w:style w:type="character" w:styleId="683">
    <w:name w:val="Header Char"/>
    <w:basedOn w:val="696"/>
    <w:uiPriority w:val="99"/>
    <w:qFormat/>
  </w:style>
  <w:style w:type="character" w:styleId="684">
    <w:name w:val="Footer Char"/>
    <w:basedOn w:val="696"/>
    <w:uiPriority w:val="99"/>
    <w:qFormat/>
  </w:style>
  <w:style w:type="character" w:styleId="685">
    <w:name w:val="Caption Char"/>
    <w:basedOn w:val="696"/>
    <w:uiPriority w:val="35"/>
    <w:qFormat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740"/>
    <w:uiPriority w:val="99"/>
    <w:qFormat/>
    <w:rPr>
      <w:sz w:val="18"/>
    </w:rPr>
  </w:style>
  <w:style w:type="character" w:styleId="687">
    <w:name w:val="Символ сноски"/>
    <w:basedOn w:val="696"/>
    <w:uiPriority w:val="99"/>
    <w:unhideWhenUsed/>
    <w:qFormat/>
    <w:rPr>
      <w:vertAlign w:val="superscript"/>
    </w:rPr>
  </w:style>
  <w:style w:type="character" w:styleId="688">
    <w:name w:val="Привязка сноски"/>
    <w:rPr>
      <w:vertAlign w:val="superscript"/>
    </w:rPr>
  </w:style>
  <w:style w:type="character" w:styleId="689">
    <w:name w:val="Endnote Text Char"/>
    <w:link w:val="736"/>
    <w:uiPriority w:val="99"/>
    <w:qFormat/>
    <w:rPr>
      <w:sz w:val="20"/>
    </w:rPr>
  </w:style>
  <w:style w:type="character" w:styleId="690">
    <w:name w:val="Символ концевой сноски"/>
    <w:basedOn w:val="696"/>
    <w:uiPriority w:val="99"/>
    <w:semiHidden/>
    <w:unhideWhenUsed/>
    <w:qFormat/>
    <w:rPr>
      <w:vertAlign w:val="superscript"/>
    </w:rPr>
  </w:style>
  <w:style w:type="character" w:styleId="691">
    <w:name w:val="Привязка концевой сноски"/>
    <w:rPr>
      <w:vertAlign w:val="superscript"/>
    </w:rPr>
  </w:style>
  <w:style w:type="character" w:styleId="692">
    <w:name w:val="Contents 2"/>
    <w:qFormat/>
    <w:rPr>
      <w:rFonts w:ascii="XO Thames" w:hAnsi="XO Thames"/>
      <w:sz w:val="28"/>
    </w:rPr>
  </w:style>
  <w:style w:type="character" w:styleId="693">
    <w:name w:val="Contents 4"/>
    <w:qFormat/>
    <w:rPr>
      <w:rFonts w:ascii="XO Thames" w:hAnsi="XO Thames"/>
      <w:sz w:val="28"/>
    </w:rPr>
  </w:style>
  <w:style w:type="character" w:styleId="694">
    <w:name w:val="Contents 6"/>
    <w:qFormat/>
    <w:rPr>
      <w:rFonts w:ascii="XO Thames" w:hAnsi="XO Thames"/>
      <w:sz w:val="28"/>
    </w:rPr>
  </w:style>
  <w:style w:type="character" w:styleId="695">
    <w:name w:val="Contents 7"/>
    <w:qFormat/>
    <w:rPr>
      <w:rFonts w:ascii="XO Thames" w:hAnsi="XO Thames"/>
      <w:sz w:val="28"/>
    </w:rPr>
  </w:style>
  <w:style w:type="character" w:styleId="696">
    <w:name w:val="Default Paragraph Font"/>
    <w:link w:val="735"/>
    <w:qFormat/>
  </w:style>
  <w:style w:type="character" w:styleId="697">
    <w:name w:val="Endnote"/>
    <w:link w:val="736"/>
    <w:qFormat/>
    <w:rPr>
      <w:rFonts w:ascii="XO Thames" w:hAnsi="XO Thames"/>
      <w:sz w:val="22"/>
    </w:rPr>
  </w:style>
  <w:style w:type="character" w:styleId="698">
    <w:name w:val="Heading 3"/>
    <w:qFormat/>
    <w:rPr>
      <w:rFonts w:ascii="XO Thames" w:hAnsi="XO Thames"/>
      <w:b/>
      <w:sz w:val="26"/>
    </w:rPr>
  </w:style>
  <w:style w:type="character" w:styleId="699">
    <w:name w:val="List Paragraph"/>
    <w:link w:val="737"/>
    <w:qFormat/>
    <w:rPr>
      <w:rFonts w:ascii="Calibri" w:hAnsi="Calibri"/>
      <w:sz w:val="22"/>
    </w:rPr>
  </w:style>
  <w:style w:type="character" w:styleId="700">
    <w:name w:val="Contents 3"/>
    <w:qFormat/>
    <w:rPr>
      <w:rFonts w:ascii="XO Thames" w:hAnsi="XO Thames"/>
      <w:sz w:val="28"/>
    </w:rPr>
  </w:style>
  <w:style w:type="character" w:styleId="701">
    <w:name w:val="Heading 5"/>
    <w:qFormat/>
    <w:rPr>
      <w:rFonts w:ascii="XO Thames" w:hAnsi="XO Thames"/>
      <w:b/>
      <w:sz w:val="22"/>
    </w:rPr>
  </w:style>
  <w:style w:type="character" w:styleId="702">
    <w:name w:val="Heading 1"/>
    <w:qFormat/>
    <w:rPr>
      <w:rFonts w:ascii="XO Thames" w:hAnsi="XO Thames"/>
      <w:b/>
      <w:sz w:val="32"/>
    </w:rPr>
  </w:style>
  <w:style w:type="character" w:styleId="703">
    <w:name w:val="Интернет-ссылка"/>
    <w:rPr>
      <w:color w:val="0000ff"/>
      <w:u w:val="single"/>
    </w:rPr>
  </w:style>
  <w:style w:type="character" w:styleId="704">
    <w:name w:val="Footnote"/>
    <w:link w:val="740"/>
    <w:qFormat/>
    <w:rPr>
      <w:rFonts w:ascii="XO Thames" w:hAnsi="XO Thames"/>
      <w:sz w:val="22"/>
    </w:rPr>
  </w:style>
  <w:style w:type="character" w:styleId="705">
    <w:name w:val="Contents 1"/>
    <w:qFormat/>
    <w:rPr>
      <w:rFonts w:ascii="XO Thames" w:hAnsi="XO Thames"/>
      <w:b/>
      <w:sz w:val="28"/>
    </w:rPr>
  </w:style>
  <w:style w:type="character" w:styleId="706">
    <w:name w:val="Header and Footer"/>
    <w:qFormat/>
    <w:rPr>
      <w:rFonts w:ascii="XO Thames" w:hAnsi="XO Thames"/>
      <w:sz w:val="20"/>
    </w:rPr>
  </w:style>
  <w:style w:type="character" w:styleId="707">
    <w:name w:val="Balloon Text"/>
    <w:link w:val="742"/>
    <w:qFormat/>
    <w:rPr>
      <w:rFonts w:ascii="Tahoma" w:hAnsi="Tahoma"/>
      <w:sz w:val="16"/>
    </w:rPr>
  </w:style>
  <w:style w:type="character" w:styleId="708">
    <w:name w:val="Contents 9"/>
    <w:qFormat/>
    <w:rPr>
      <w:rFonts w:ascii="XO Thames" w:hAnsi="XO Thames"/>
      <w:sz w:val="28"/>
    </w:rPr>
  </w:style>
  <w:style w:type="character" w:styleId="709">
    <w:name w:val="Contents 8"/>
    <w:qFormat/>
    <w:rPr>
      <w:rFonts w:ascii="XO Thames" w:hAnsi="XO Thames"/>
      <w:sz w:val="28"/>
    </w:rPr>
  </w:style>
  <w:style w:type="character" w:styleId="710">
    <w:name w:val="Contents 5"/>
    <w:qFormat/>
    <w:rPr>
      <w:rFonts w:ascii="XO Thames" w:hAnsi="XO Thames"/>
      <w:sz w:val="28"/>
    </w:rPr>
  </w:style>
  <w:style w:type="character" w:styleId="711">
    <w:name w:val="Subtitle"/>
    <w:qFormat/>
    <w:rPr>
      <w:rFonts w:ascii="XO Thames" w:hAnsi="XO Thames"/>
      <w:i/>
      <w:sz w:val="24"/>
    </w:rPr>
  </w:style>
  <w:style w:type="character" w:styleId="712">
    <w:name w:val="Title"/>
    <w:qFormat/>
    <w:rPr>
      <w:rFonts w:ascii="XO Thames" w:hAnsi="XO Thames"/>
      <w:b/>
      <w:caps/>
      <w:sz w:val="40"/>
    </w:rPr>
  </w:style>
  <w:style w:type="character" w:styleId="713">
    <w:name w:val="Heading 4"/>
    <w:qFormat/>
    <w:rPr>
      <w:rFonts w:ascii="XO Thames" w:hAnsi="XO Thames"/>
      <w:b/>
      <w:sz w:val="24"/>
    </w:rPr>
  </w:style>
  <w:style w:type="character" w:styleId="714">
    <w:name w:val="Heading 2"/>
    <w:qFormat/>
    <w:rPr>
      <w:rFonts w:ascii="XO Thames" w:hAnsi="XO Thames"/>
      <w:b/>
      <w:sz w:val="28"/>
    </w:rPr>
  </w:style>
  <w:style w:type="paragraph" w:styleId="715">
    <w:name w:val="Заголовок"/>
    <w:basedOn w:val="660"/>
    <w:next w:val="71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16">
    <w:name w:val="Body Text"/>
    <w:basedOn w:val="660"/>
    <w:pPr>
      <w:spacing w:before="0" w:after="140" w:line="276" w:lineRule="auto"/>
    </w:pPr>
  </w:style>
  <w:style w:type="paragraph" w:styleId="717">
    <w:name w:val="List"/>
    <w:basedOn w:val="716"/>
    <w:rPr>
      <w:rFonts w:cs="Droid Sans Devanagari"/>
    </w:rPr>
  </w:style>
  <w:style w:type="paragraph" w:styleId="718">
    <w:name w:val="Caption"/>
    <w:basedOn w:val="660"/>
    <w:link w:val="685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19">
    <w:name w:val="Указатель"/>
    <w:basedOn w:val="660"/>
    <w:qFormat/>
    <w:pPr>
      <w:suppressLineNumbers/>
    </w:pPr>
    <w:rPr>
      <w:rFonts w:cs="Droid Sans Devanagari"/>
    </w:rPr>
  </w:style>
  <w:style w:type="paragraph" w:styleId="72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Droid Sans Devanagari" w:asciiTheme="minorAscii" w:hAnsiTheme="minorHAnsi"/>
      <w:color w:val="000000"/>
      <w:sz w:val="22"/>
      <w:szCs w:val="20"/>
      <w:lang w:val="ru-RU" w:eastAsia="zh-CN" w:bidi="hi-IN"/>
    </w:rPr>
  </w:style>
  <w:style w:type="paragraph" w:styleId="721">
    <w:name w:val="Quote"/>
    <w:basedOn w:val="660"/>
    <w:next w:val="660"/>
    <w:link w:val="681"/>
    <w:uiPriority w:val="29"/>
    <w:qFormat/>
    <w:pPr>
      <w:ind w:left="720" w:right="720" w:firstLine="0"/>
    </w:pPr>
    <w:rPr>
      <w:i/>
    </w:rPr>
  </w:style>
  <w:style w:type="paragraph" w:styleId="722">
    <w:name w:val="Intense Quote"/>
    <w:basedOn w:val="660"/>
    <w:next w:val="660"/>
    <w:link w:val="68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3">
    <w:name w:val="Колонтитул"/>
    <w:qFormat/>
    <w:pPr>
      <w:ind w:left="0" w:right="0" w:firstLine="0"/>
      <w:jc w:val="both"/>
      <w:spacing w:before="0" w:after="160" w:line="240" w:lineRule="auto"/>
      <w:widowControl/>
    </w:pPr>
    <w:rPr>
      <w:rFonts w:ascii="XO Thames" w:hAnsi="XO Thames" w:eastAsia="Tahoma" w:cs="Droid Sans Devanagari"/>
      <w:color w:val="000000"/>
      <w:spacing w:val="0"/>
      <w:sz w:val="20"/>
      <w:szCs w:val="20"/>
      <w:lang w:val="ru-RU" w:eastAsia="zh-CN" w:bidi="hi-IN"/>
    </w:rPr>
  </w:style>
  <w:style w:type="paragraph" w:styleId="724">
    <w:name w:val="Header"/>
    <w:basedOn w:val="660"/>
    <w:link w:val="68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5">
    <w:name w:val="Footer"/>
    <w:basedOn w:val="660"/>
    <w:link w:val="68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6">
    <w:name w:val="footnote text"/>
    <w:basedOn w:val="660"/>
    <w:link w:val="68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7">
    <w:name w:val="endnote text"/>
    <w:basedOn w:val="660"/>
    <w:link w:val="68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8">
    <w:name w:val="Index Heading"/>
    <w:basedOn w:val="715"/>
  </w:style>
  <w:style w:type="paragraph" w:styleId="729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Tahoma" w:cs="Droid Sans Devanagari" w:asciiTheme="minorAscii" w:hAnsiTheme="minorHAnsi"/>
      <w:color w:val="000000"/>
      <w:sz w:val="22"/>
      <w:szCs w:val="20"/>
      <w:lang w:val="ru-RU" w:eastAsia="zh-CN" w:bidi="hi-IN"/>
    </w:rPr>
  </w:style>
  <w:style w:type="paragraph" w:styleId="730">
    <w:name w:val="table of figures"/>
    <w:basedOn w:val="660"/>
    <w:next w:val="660"/>
    <w:uiPriority w:val="99"/>
    <w:unhideWhenUsed/>
    <w:qFormat/>
    <w:pPr>
      <w:spacing w:before="0" w:after="0" w:afterAutospacing="0"/>
    </w:pPr>
  </w:style>
  <w:style w:type="paragraph" w:styleId="731">
    <w:name w:val="toc 2"/>
    <w:next w:val="660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32">
    <w:name w:val="toc 4"/>
    <w:next w:val="660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33">
    <w:name w:val="toc 6"/>
    <w:next w:val="660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34">
    <w:name w:val="toc 7"/>
    <w:next w:val="660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35">
    <w:name w:val="Default Paragraph Font"/>
    <w:link w:val="696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Droid Sans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36">
    <w:name w:val="Endnote"/>
    <w:link w:val="697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2"/>
      <w:szCs w:val="20"/>
      <w:lang w:val="ru-RU" w:eastAsia="zh-CN" w:bidi="hi-IN"/>
    </w:rPr>
  </w:style>
  <w:style w:type="paragraph" w:styleId="737">
    <w:name w:val="List Paragraph"/>
    <w:basedOn w:val="660"/>
    <w:link w:val="699"/>
    <w:qFormat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</w:rPr>
  </w:style>
  <w:style w:type="paragraph" w:styleId="738">
    <w:name w:val="toc 3"/>
    <w:next w:val="660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39">
    <w:name w:val="Hyperlink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Droid Sans Devanagari"/>
      <w:color w:val="0000ff"/>
      <w:spacing w:val="0"/>
      <w:sz w:val="22"/>
      <w:szCs w:val="20"/>
      <w:u w:val="single"/>
      <w:lang w:val="ru-RU" w:eastAsia="zh-CN" w:bidi="hi-IN"/>
    </w:rPr>
  </w:style>
  <w:style w:type="paragraph" w:styleId="740">
    <w:name w:val="Footnote"/>
    <w:link w:val="704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2"/>
      <w:szCs w:val="20"/>
      <w:lang w:val="ru-RU" w:eastAsia="zh-CN" w:bidi="hi-IN"/>
    </w:rPr>
  </w:style>
  <w:style w:type="paragraph" w:styleId="741">
    <w:name w:val="toc 1"/>
    <w:next w:val="660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b/>
      <w:color w:val="000000"/>
      <w:spacing w:val="0"/>
      <w:sz w:val="28"/>
      <w:szCs w:val="20"/>
      <w:lang w:val="ru-RU" w:eastAsia="zh-CN" w:bidi="hi-IN"/>
    </w:rPr>
  </w:style>
  <w:style w:type="paragraph" w:styleId="742">
    <w:name w:val="Balloon Text"/>
    <w:basedOn w:val="660"/>
    <w:link w:val="707"/>
    <w:qFormat/>
    <w:rPr>
      <w:rFonts w:ascii="Tahoma" w:hAnsi="Tahoma"/>
      <w:sz w:val="16"/>
    </w:rPr>
  </w:style>
  <w:style w:type="paragraph" w:styleId="743">
    <w:name w:val="toc 9"/>
    <w:next w:val="660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44">
    <w:name w:val="toc 8"/>
    <w:next w:val="660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45">
    <w:name w:val="toc 5"/>
    <w:next w:val="660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46">
    <w:name w:val="Subtitle"/>
    <w:next w:val="660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 w:eastAsia="Tahoma" w:cs="Droid Sans Devanagari"/>
      <w:i/>
      <w:color w:val="000000"/>
      <w:spacing w:val="0"/>
      <w:sz w:val="24"/>
      <w:szCs w:val="20"/>
      <w:lang w:val="ru-RU" w:eastAsia="zh-CN" w:bidi="hi-IN"/>
    </w:rPr>
  </w:style>
  <w:style w:type="paragraph" w:styleId="747">
    <w:name w:val="Title"/>
    <w:next w:val="660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 w:eastAsia="Tahoma" w:cs="Droid Sans Devanagari"/>
      <w:b/>
      <w:caps/>
      <w:color w:val="000000"/>
      <w:spacing w:val="0"/>
      <w:sz w:val="40"/>
      <w:szCs w:val="20"/>
      <w:lang w:val="ru-RU" w:eastAsia="zh-CN" w:bidi="hi-IN"/>
    </w:rPr>
  </w:style>
  <w:style w:type="paragraph" w:styleId="748">
    <w:name w:val="Normal (Web)"/>
    <w:basedOn w:val="660"/>
    <w:qFormat/>
    <w:pPr>
      <w:spacing w:before="280" w:after="280"/>
    </w:pPr>
  </w:style>
  <w:style w:type="paragraph" w:styleId="749">
    <w:name w:val="ConsPlusNonformat"/>
    <w:qFormat/>
    <w:pPr>
      <w:jc w:val="left"/>
      <w:spacing w:before="0" w:after="0" w:line="276" w:lineRule="auto"/>
      <w:widowControl w:val="off"/>
    </w:pPr>
    <w:rPr>
      <w:rFonts w:ascii="Courier New" w:hAnsi="Courier New" w:eastAsia="Calibri" w:cs="Courier New"/>
      <w:color w:val="auto"/>
      <w:sz w:val="20"/>
      <w:szCs w:val="22"/>
      <w:lang w:val="ru-RU" w:eastAsia="en-US" w:bidi="ar-SA"/>
    </w:rPr>
  </w:style>
  <w:style w:type="paragraph" w:styleId="750">
    <w:name w:val="ConsPlusNormal"/>
    <w:qFormat/>
    <w:pPr>
      <w:jc w:val="left"/>
      <w:spacing w:before="0" w:after="0" w:line="276" w:lineRule="auto"/>
      <w:widowControl w:val="off"/>
    </w:pPr>
    <w:rPr>
      <w:rFonts w:ascii="Times New Roman" w:hAnsi="Times New Roman" w:eastAsia="Calibri" w:cs="Times New Roman"/>
      <w:color w:val="auto"/>
      <w:sz w:val="24"/>
      <w:szCs w:val="22"/>
      <w:lang w:val="ru-RU" w:eastAsia="en-US" w:bidi="ar-SA"/>
    </w:rPr>
  </w:style>
  <w:style w:type="numbering" w:styleId="751" w:default="1">
    <w:name w:val="No List"/>
    <w:uiPriority w:val="99"/>
    <w:semiHidden/>
    <w:unhideWhenUsed/>
    <w:qFormat/>
  </w:style>
  <w:style w:type="table" w:styleId="752">
    <w:name w:val="Table Grid"/>
    <w:basedOn w:val="8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7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7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5">
    <w:name w:val="Plain Table 2"/>
    <w:basedOn w:val="8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8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8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8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4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4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4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5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5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5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5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6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6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6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6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6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6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6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6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6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7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7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7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7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7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78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1" Type="http://schemas.openxmlformats.org/officeDocument/2006/relationships/hyperlink" Target="https://www.rts-tender.ru/" TargetMode="External"/><Relationship Id="rId12" Type="http://schemas.openxmlformats.org/officeDocument/2006/relationships/hyperlink" Target="https://www.rts-tender.ru/" TargetMode="External"/><Relationship Id="rId13" Type="http://schemas.openxmlformats.org/officeDocument/2006/relationships/hyperlink" Target="https://torgi.gov.ru/" TargetMode="External"/><Relationship Id="rId14" Type="http://schemas.openxmlformats.org/officeDocument/2006/relationships/hyperlink" Target="https://www.rts-tender.ru/" TargetMode="External"/><Relationship Id="rId15" Type="http://schemas.openxmlformats.org/officeDocument/2006/relationships/hyperlink" Target="https://www.rts-tender.ru/" TargetMode="External"/><Relationship Id="rId16" Type="http://schemas.openxmlformats.org/officeDocument/2006/relationships/hyperlink" Target="https://www.rts-tender.ru/" TargetMode="External"/><Relationship Id="rId17" Type="http://schemas.openxmlformats.org/officeDocument/2006/relationships/hyperlink" Target="https://www.rts-tender.ru/" TargetMode="External"/><Relationship Id="rId18" Type="http://schemas.openxmlformats.org/officeDocument/2006/relationships/hyperlink" Target="https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v.kovalevskaya</cp:lastModifiedBy>
  <cp:revision>49</cp:revision>
  <dcterms:modified xsi:type="dcterms:W3CDTF">2026-02-04T12:47:05Z</dcterms:modified>
</cp:coreProperties>
</file>