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40" w:lineRule="auto"/>
        <w:ind w:firstLine="567" w:left="0"/>
        <w:jc w:val="center"/>
        <w:rPr>
          <w:b w:val="1"/>
          <w:sz w:val="24"/>
        </w:rPr>
      </w:pPr>
    </w:p>
    <w:p w14:paraId="02000000">
      <w:pPr>
        <w:spacing w:line="240" w:lineRule="auto"/>
        <w:ind w:firstLine="567" w:left="0"/>
        <w:jc w:val="center"/>
        <w:rPr>
          <w:b w:val="1"/>
          <w:sz w:val="24"/>
        </w:rPr>
      </w:pPr>
      <w:r>
        <w:rPr>
          <w:b w:val="1"/>
          <w:sz w:val="24"/>
        </w:rPr>
        <w:t xml:space="preserve">Территориальное управление  </w:t>
      </w:r>
      <w:r>
        <w:rPr>
          <w:b w:val="1"/>
          <w:sz w:val="24"/>
        </w:rPr>
        <w:t>Росимущества</w:t>
      </w:r>
      <w:r>
        <w:rPr>
          <w:b w:val="1"/>
          <w:sz w:val="24"/>
        </w:rPr>
        <w:t xml:space="preserve"> в Омской области</w:t>
      </w:r>
    </w:p>
    <w:p w14:paraId="03000000">
      <w:pPr>
        <w:spacing w:line="240" w:lineRule="auto"/>
        <w:ind w:firstLine="0" w:left="0"/>
        <w:jc w:val="center"/>
        <w:rPr>
          <w:b w:val="1"/>
          <w:i w:val="1"/>
          <w:sz w:val="24"/>
        </w:rPr>
      </w:pPr>
      <w:r>
        <w:rPr>
          <w:b w:val="1"/>
          <w:i w:val="1"/>
          <w:sz w:val="24"/>
        </w:rPr>
        <w:t xml:space="preserve">объявляет о проведении торгов </w:t>
      </w:r>
    </w:p>
    <w:p w14:paraId="04000000">
      <w:pPr>
        <w:spacing w:line="240" w:lineRule="auto"/>
        <w:ind w:firstLine="0" w:left="0"/>
        <w:jc w:val="center"/>
        <w:rPr>
          <w:b w:val="1"/>
          <w:i w:val="1"/>
          <w:sz w:val="24"/>
        </w:rPr>
      </w:pPr>
      <w:r>
        <w:rPr>
          <w:b w:val="1"/>
          <w:i w:val="1"/>
          <w:sz w:val="24"/>
        </w:rPr>
        <w:t>(в форме электронного аукциона, открытого по составу участников и форме подачи предложения о цене)</w:t>
      </w:r>
    </w:p>
    <w:p w14:paraId="05000000">
      <w:pPr>
        <w:spacing w:line="240" w:lineRule="auto"/>
        <w:ind w:firstLine="567" w:left="0"/>
        <w:jc w:val="center"/>
      </w:pPr>
      <w:r>
        <w:rPr>
          <w:b w:val="1"/>
          <w:i w:val="1"/>
          <w:sz w:val="24"/>
        </w:rPr>
        <w:t>по поручению ГУФССП России по Омск</w:t>
      </w:r>
      <w:r>
        <w:rPr>
          <w:rFonts w:ascii="Times New Roman" w:hAnsi="Times New Roman"/>
          <w:b w:val="1"/>
          <w:i w:val="1"/>
          <w:sz w:val="24"/>
        </w:rPr>
        <w:t>ой области,</w:t>
      </w: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СОСП по Омской области ГМУ ФССП России</w:t>
      </w:r>
    </w:p>
    <w:p w14:paraId="06000000">
      <w:pPr>
        <w:spacing w:line="240" w:lineRule="auto"/>
        <w:ind w:firstLine="567" w:left="0"/>
        <w:jc w:val="center"/>
        <w:rPr>
          <w:b w:val="1"/>
          <w:i w:val="1"/>
          <w:sz w:val="24"/>
        </w:rPr>
      </w:pPr>
      <w:r>
        <w:rPr>
          <w:b w:val="1"/>
          <w:sz w:val="24"/>
        </w:rPr>
        <w:t xml:space="preserve">Продавец – </w:t>
      </w:r>
      <w:r>
        <w:rPr>
          <w:b w:val="1"/>
          <w:sz w:val="24"/>
        </w:rPr>
        <w:t>ТУРосимущества</w:t>
      </w:r>
      <w:r>
        <w:rPr>
          <w:b w:val="1"/>
          <w:sz w:val="24"/>
        </w:rPr>
        <w:t xml:space="preserve"> в Омской области</w:t>
      </w:r>
    </w:p>
    <w:p w14:paraId="07000000">
      <w:pPr>
        <w:spacing w:line="240" w:lineRule="auto"/>
        <w:ind w:firstLine="567" w:left="0"/>
        <w:jc w:val="center"/>
        <w:rPr>
          <w:b w:val="1"/>
          <w:sz w:val="24"/>
        </w:rPr>
      </w:pPr>
      <w:r>
        <w:rPr>
          <w:b w:val="1"/>
          <w:sz w:val="24"/>
        </w:rPr>
        <w:t xml:space="preserve"> (</w:t>
      </w:r>
      <w:r>
        <w:rPr>
          <w:b w:val="1"/>
          <w:sz w:val="24"/>
        </w:rPr>
        <w:t>г</w:t>
      </w:r>
      <w:r>
        <w:rPr>
          <w:b w:val="1"/>
          <w:sz w:val="24"/>
        </w:rPr>
        <w:t xml:space="preserve">. Омск, ул. Тарская, 11, </w:t>
      </w:r>
      <w:r>
        <w:rPr>
          <w:b w:val="1"/>
          <w:sz w:val="24"/>
        </w:rPr>
        <w:t>каб</w:t>
      </w:r>
      <w:r>
        <w:rPr>
          <w:b w:val="1"/>
          <w:sz w:val="24"/>
        </w:rPr>
        <w:t>. 622, тел. 8 (3812) 24-73-89)</w:t>
      </w:r>
    </w:p>
    <w:p w14:paraId="08000000">
      <w:pPr>
        <w:spacing w:line="240" w:lineRule="auto"/>
        <w:ind w:firstLine="567" w:left="0"/>
        <w:jc w:val="center"/>
        <w:rPr>
          <w:b w:val="1"/>
          <w:sz w:val="24"/>
        </w:rPr>
      </w:pPr>
    </w:p>
    <w:p w14:paraId="09000000">
      <w:pPr>
        <w:spacing w:line="0" w:lineRule="atLeast"/>
        <w:ind w:firstLine="0" w:left="0"/>
        <w:jc w:val="center"/>
        <w:rPr>
          <w:sz w:val="24"/>
        </w:rPr>
      </w:pPr>
      <w:r>
        <w:rPr>
          <w:sz w:val="24"/>
        </w:rPr>
        <w:t>Торги проходят на универсальной торговой платформе АО «</w:t>
      </w:r>
      <w:r>
        <w:rPr>
          <w:sz w:val="24"/>
        </w:rPr>
        <w:t>Сбербанк-АСТ</w:t>
      </w:r>
      <w:r>
        <w:rPr>
          <w:sz w:val="24"/>
        </w:rPr>
        <w:t>»(</w:t>
      </w:r>
      <w:r>
        <w:rPr>
          <w:sz w:val="24"/>
        </w:rPr>
        <w:t>торговая секция «приватизация»), находящейся в сети интернет по адресу: http://utp.sberbank-ast.ru, в соответствии с Регламентом универсальной торговой платформы АО «Сбербанк – АСТ».</w:t>
      </w:r>
    </w:p>
    <w:p w14:paraId="0A000000">
      <w:pPr>
        <w:spacing w:line="0" w:lineRule="atLeast"/>
        <w:ind w:firstLine="0" w:left="0"/>
        <w:jc w:val="center"/>
        <w:rPr>
          <w:sz w:val="24"/>
        </w:rPr>
      </w:pPr>
    </w:p>
    <w:p w14:paraId="0B000000">
      <w:pPr>
        <w:spacing w:line="240" w:lineRule="auto"/>
        <w:ind w:firstLine="567" w:left="0"/>
        <w:jc w:val="center"/>
        <w:rPr>
          <w:b w:val="1"/>
        </w:rPr>
      </w:pPr>
      <w:r>
        <w:rPr>
          <w:b w:val="1"/>
        </w:rPr>
        <w:t>Дата проведения аукционов по реализации арестованного недвижимого имущества</w:t>
      </w:r>
    </w:p>
    <w:p w14:paraId="0C000000">
      <w:pPr>
        <w:spacing w:line="240" w:lineRule="auto"/>
        <w:ind w:firstLine="567" w:left="0"/>
        <w:jc w:val="center"/>
        <w:rPr>
          <w:b w:val="1"/>
          <w:color w:val="FF0000"/>
        </w:rPr>
      </w:pPr>
      <w:r>
        <w:rPr>
          <w:b w:val="1"/>
          <w:color w:val="FF0000"/>
        </w:rPr>
        <w:t>– 19 февраля 2026 г. в 08-00 (время московское)</w:t>
      </w:r>
    </w:p>
    <w:p w14:paraId="0D000000">
      <w:pPr>
        <w:spacing w:line="240" w:lineRule="auto"/>
        <w:ind w:firstLine="567" w:left="0"/>
        <w:jc w:val="center"/>
        <w:rPr>
          <w:b w:val="1"/>
          <w:color w:val="FF0000"/>
        </w:rPr>
      </w:pPr>
    </w:p>
    <w:tbl>
      <w:tblPr>
        <w:tblStyle w:val="Style_1"/>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18"/>
        <w:gridCol w:w="3953"/>
        <w:gridCol w:w="2061"/>
        <w:gridCol w:w="1384"/>
        <w:gridCol w:w="1101"/>
        <w:gridCol w:w="1143"/>
        <w:gridCol w:w="1228"/>
      </w:tblGrid>
      <w:tr>
        <w:trPr>
          <w:trHeight w:hRule="atLeast" w:val="472"/>
        </w:trPr>
        <w:tc>
          <w:tcPr>
            <w:tcW w:type="dxa" w:w="381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0E000000">
            <w:pPr>
              <w:spacing w:line="240" w:lineRule="auto"/>
              <w:ind w:firstLine="0" w:left="0"/>
              <w:jc w:val="center"/>
              <w:rPr>
                <w:b w:val="1"/>
                <w:sz w:val="22"/>
              </w:rPr>
            </w:pPr>
            <w:r>
              <w:rPr>
                <w:b w:val="1"/>
                <w:sz w:val="22"/>
              </w:rPr>
              <w:t xml:space="preserve">Объект продажи </w:t>
            </w:r>
          </w:p>
        </w:tc>
        <w:tc>
          <w:tcPr>
            <w:tcW w:type="dxa" w:w="395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0F000000">
            <w:pPr>
              <w:spacing w:line="240" w:lineRule="auto"/>
              <w:ind w:firstLine="0" w:left="0"/>
              <w:jc w:val="center"/>
              <w:rPr>
                <w:b w:val="1"/>
                <w:sz w:val="22"/>
              </w:rPr>
            </w:pPr>
            <w:r>
              <w:rPr>
                <w:b w:val="1"/>
                <w:sz w:val="22"/>
              </w:rPr>
              <w:t>Адрес</w:t>
            </w:r>
          </w:p>
        </w:tc>
        <w:tc>
          <w:tcPr>
            <w:tcW w:type="dxa" w:w="206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0000000">
            <w:pPr>
              <w:spacing w:line="240" w:lineRule="auto"/>
              <w:ind w:firstLine="0" w:left="0"/>
              <w:jc w:val="center"/>
              <w:rPr>
                <w:b w:val="1"/>
                <w:sz w:val="22"/>
              </w:rPr>
            </w:pPr>
            <w:r>
              <w:rPr>
                <w:b w:val="1"/>
                <w:sz w:val="22"/>
              </w:rPr>
              <w:t>Собственник (должник)</w:t>
            </w:r>
          </w:p>
        </w:tc>
        <w:tc>
          <w:tcPr>
            <w:tcW w:type="dxa" w:w="1384"/>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1000000">
            <w:pPr>
              <w:spacing w:line="240" w:lineRule="auto"/>
              <w:ind w:firstLine="0" w:left="0"/>
              <w:jc w:val="center"/>
              <w:rPr>
                <w:b w:val="1"/>
                <w:sz w:val="22"/>
              </w:rPr>
            </w:pPr>
            <w:r>
              <w:rPr>
                <w:b w:val="1"/>
                <w:sz w:val="22"/>
              </w:rPr>
              <w:t>Начальная цена  (руб.)</w:t>
            </w:r>
          </w:p>
        </w:tc>
        <w:tc>
          <w:tcPr>
            <w:tcW w:type="dxa" w:w="110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2000000">
            <w:pPr>
              <w:spacing w:line="240" w:lineRule="auto"/>
              <w:ind w:firstLine="0" w:left="0"/>
              <w:jc w:val="center"/>
              <w:rPr>
                <w:b w:val="1"/>
                <w:sz w:val="22"/>
              </w:rPr>
            </w:pPr>
            <w:r>
              <w:rPr>
                <w:b w:val="1"/>
                <w:sz w:val="22"/>
              </w:rPr>
              <w:t>Задаток (руб.)</w:t>
            </w:r>
          </w:p>
        </w:tc>
        <w:tc>
          <w:tcPr>
            <w:tcW w:type="dxa" w:w="114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3000000">
            <w:pPr>
              <w:spacing w:line="240" w:lineRule="auto"/>
              <w:ind w:firstLine="0" w:left="0"/>
              <w:jc w:val="center"/>
              <w:rPr>
                <w:b w:val="1"/>
                <w:sz w:val="22"/>
              </w:rPr>
            </w:pPr>
            <w:r>
              <w:rPr>
                <w:b w:val="1"/>
                <w:sz w:val="22"/>
              </w:rPr>
              <w:t>Шаг аукциона (руб.)</w:t>
            </w:r>
          </w:p>
        </w:tc>
        <w:tc>
          <w:tcPr>
            <w:tcW w:type="dxa" w:w="122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14000000">
            <w:pPr>
              <w:spacing w:line="240" w:lineRule="auto"/>
              <w:ind w:firstLine="0" w:left="0"/>
              <w:jc w:val="center"/>
              <w:rPr>
                <w:b w:val="1"/>
                <w:sz w:val="22"/>
              </w:rPr>
            </w:pPr>
            <w:r>
              <w:rPr>
                <w:b w:val="1"/>
                <w:sz w:val="22"/>
              </w:rPr>
              <w:t xml:space="preserve">№ </w:t>
            </w:r>
          </w:p>
          <w:p w14:paraId="15000000">
            <w:pPr>
              <w:spacing w:line="240" w:lineRule="auto"/>
              <w:ind w:firstLine="0" w:left="0"/>
              <w:jc w:val="center"/>
              <w:rPr>
                <w:b w:val="1"/>
                <w:sz w:val="22"/>
              </w:rPr>
            </w:pPr>
            <w:r>
              <w:rPr>
                <w:b w:val="1"/>
                <w:sz w:val="22"/>
              </w:rPr>
              <w:t>Лота</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6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Земельный участок, площадью 800 кв.м., кадастровый номер 55:20:170804:662, земли населенных пунктов, для размещения малоэтажных жилых домов до 3-х этажей включительно различных типов</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1640 м по направлению на юго-восток от ориентира. Почтовый адрес ориентира: Омская обл., Омский р-н, с. Петровка, ул. 70 лет Октября, д. 23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ИП Михтонюк (Кудинова) О.А.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226 000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113 000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8 000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00000">
            <w:pPr>
              <w:pStyle w:val="Style_2"/>
              <w:spacing w:line="240" w:lineRule="auto"/>
              <w:ind w:firstLine="0" w:left="-108"/>
              <w:jc w:val="center"/>
              <w:rPr>
                <w:sz w:val="22"/>
              </w:rPr>
            </w:pPr>
            <w:r>
              <w:rPr>
                <w:sz w:val="22"/>
              </w:rPr>
              <w:t>196960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D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1/3 доля в праве общей долевой собствен</w:t>
            </w:r>
            <w:r>
              <w:rPr>
                <w:rFonts w:ascii="Times New Roman" w:hAnsi="Times New Roman"/>
                <w:sz w:val="22"/>
              </w:rPr>
              <w:t xml:space="preserve">ности на </w:t>
            </w:r>
            <w:r>
              <w:rPr>
                <w:rFonts w:ascii="Times New Roman" w:hAnsi="Times New Roman"/>
                <w:sz w:val="22"/>
              </w:rPr>
              <w:t xml:space="preserve">нежилое помещение (гаражный бокс), общей площадью 20,9 кв.м., кадастровый номер </w:t>
            </w:r>
            <w:r>
              <w:rPr>
                <w:rFonts w:ascii="Times New Roman" w:hAnsi="Times New Roman"/>
                <w:sz w:val="22"/>
              </w:rPr>
              <w:t>55:36:070104:7047</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E000000">
            <w:pPr>
              <w:pStyle w:val="Style_2"/>
              <w:tabs>
                <w:tab w:leader="none" w:pos="191" w:val="left"/>
                <w:tab w:leader="none" w:pos="1592" w:val="center"/>
              </w:tabs>
              <w:spacing w:line="240" w:lineRule="auto"/>
              <w:ind w:firstLine="0" w:left="0"/>
              <w:jc w:val="both"/>
              <w:rPr>
                <w:rFonts w:ascii="Times New Roman" w:hAnsi="Times New Roman"/>
                <w:sz w:val="22"/>
              </w:rPr>
            </w:pPr>
            <w:r>
              <w:rPr>
                <w:rFonts w:ascii="Times New Roman" w:hAnsi="Times New Roman"/>
                <w:sz w:val="22"/>
              </w:rPr>
              <w:t>Омская обл., г. Омск, ГСК «Север-26» (САО), у Советского рынка, котельный переулок, бокс 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Пресман Н.В.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00000">
            <w:pPr>
              <w:spacing w:line="240" w:lineRule="auto"/>
              <w:ind w:firstLine="0" w:left="-108"/>
              <w:jc w:val="center"/>
              <w:rPr>
                <w:sz w:val="22"/>
              </w:rPr>
            </w:pPr>
            <w:r>
              <w:rPr>
                <w:sz w:val="22"/>
              </w:rPr>
              <w:t>216 000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00000">
            <w:pPr>
              <w:pStyle w:val="Style_2"/>
              <w:spacing w:line="240" w:lineRule="auto"/>
              <w:ind w:firstLine="0" w:left="-108"/>
              <w:jc w:val="center"/>
              <w:rPr>
                <w:sz w:val="22"/>
              </w:rPr>
            </w:pPr>
            <w:r>
              <w:rPr>
                <w:sz w:val="22"/>
              </w:rPr>
              <w:t>159 000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00000">
            <w:pPr>
              <w:pStyle w:val="Style_2"/>
              <w:spacing w:line="240" w:lineRule="auto"/>
              <w:ind w:firstLine="0" w:left="-108"/>
              <w:jc w:val="center"/>
              <w:rPr>
                <w:sz w:val="22"/>
              </w:rPr>
            </w:pPr>
            <w:r>
              <w:rPr>
                <w:sz w:val="22"/>
              </w:rPr>
              <w:t>9858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4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 (гаражный бокс), общей площадью 16,1 кв.м,</w:t>
            </w:r>
            <w:r>
              <w:rPr>
                <w:rFonts w:ascii="Times New Roman" w:hAnsi="Times New Roman"/>
                <w:sz w:val="22"/>
              </w:rPr>
              <w:t xml:space="preserve"> кадастровый номер 55:36:070401</w:t>
            </w:r>
            <w:r>
              <w:rPr>
                <w:rFonts w:ascii="Times New Roman" w:hAnsi="Times New Roman"/>
                <w:sz w:val="22"/>
              </w:rPr>
              <w:t>:17155</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ул. 4 Дачная, ГСК «Омич-39»</w:t>
            </w:r>
            <w:r>
              <w:rPr>
                <w:rFonts w:ascii="Times New Roman" w:hAnsi="Times New Roman"/>
                <w:sz w:val="22"/>
              </w:rPr>
              <w:t>, бокс 655</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Миклашова В.А.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00000">
            <w:pPr>
              <w:spacing w:line="240" w:lineRule="auto"/>
              <w:ind w:firstLine="0" w:left="-108"/>
              <w:jc w:val="center"/>
              <w:rPr>
                <w:sz w:val="22"/>
              </w:rPr>
            </w:pPr>
            <w:r>
              <w:rPr>
                <w:sz w:val="22"/>
              </w:rPr>
              <w:t>275 900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00000">
            <w:pPr>
              <w:pStyle w:val="Style_2"/>
              <w:spacing w:line="240" w:lineRule="auto"/>
              <w:ind w:firstLine="0" w:left="-108"/>
              <w:jc w:val="center"/>
              <w:rPr>
                <w:sz w:val="22"/>
              </w:rPr>
            </w:pPr>
            <w:r>
              <w:rPr>
                <w:sz w:val="22"/>
              </w:rPr>
              <w:t>138 000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00000">
            <w:pPr>
              <w:pStyle w:val="Style_2"/>
              <w:spacing w:line="240" w:lineRule="auto"/>
              <w:ind w:firstLine="0" w:left="-108"/>
              <w:jc w:val="center"/>
              <w:rPr>
                <w:sz w:val="22"/>
              </w:rPr>
            </w:pPr>
            <w:r>
              <w:rPr>
                <w:sz w:val="22"/>
              </w:rPr>
              <w:t>9887</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B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 (гаражный бокс), общей площадью 18,6 кв.м., кадастровый номер 55:36:070104:6658</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 xml:space="preserve">Омская обл., </w:t>
            </w:r>
            <w:r>
              <w:rPr>
                <w:rFonts w:ascii="Times New Roman" w:hAnsi="Times New Roman"/>
                <w:sz w:val="22"/>
              </w:rPr>
              <w:tab/>
            </w:r>
            <w:r>
              <w:rPr>
                <w:rFonts w:ascii="Times New Roman" w:hAnsi="Times New Roman"/>
                <w:sz w:val="22"/>
              </w:rPr>
              <w:t>г. Омск, ул. Энтузиастов, ГСК «Север-23», бокс 33, ряд 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Игнатченко В.Ю.</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00000">
            <w:pPr>
              <w:spacing w:line="240" w:lineRule="auto"/>
              <w:ind w:firstLine="0" w:left="-108"/>
              <w:jc w:val="center"/>
              <w:rPr>
                <w:sz w:val="22"/>
              </w:rPr>
            </w:pPr>
            <w:r>
              <w:rPr>
                <w:sz w:val="22"/>
              </w:rPr>
              <w:t>240 500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00000">
            <w:pPr>
              <w:pStyle w:val="Style_2"/>
              <w:spacing w:line="240" w:lineRule="auto"/>
              <w:ind w:firstLine="0" w:left="-108"/>
              <w:jc w:val="center"/>
              <w:rPr>
                <w:sz w:val="22"/>
              </w:rPr>
            </w:pPr>
            <w:r>
              <w:rPr>
                <w:sz w:val="22"/>
              </w:rPr>
              <w:t>120 000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00000">
            <w:pPr>
              <w:pStyle w:val="Style_2"/>
              <w:spacing w:line="240" w:lineRule="auto"/>
              <w:ind w:firstLine="0" w:left="-108"/>
              <w:jc w:val="center"/>
              <w:rPr>
                <w:sz w:val="22"/>
              </w:rPr>
            </w:pPr>
            <w:r>
              <w:rPr>
                <w:sz w:val="22"/>
              </w:rPr>
              <w:t>9888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2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w:t>
            </w:r>
            <w:r>
              <w:rPr>
                <w:rFonts w:ascii="Times New Roman" w:hAnsi="Times New Roman"/>
                <w:sz w:val="22"/>
              </w:rPr>
              <w:t xml:space="preserve"> (</w:t>
            </w:r>
            <w:r>
              <w:rPr>
                <w:rFonts w:ascii="Times New Roman" w:hAnsi="Times New Roman"/>
                <w:sz w:val="22"/>
              </w:rPr>
              <w:t xml:space="preserve">гаражный бокс), </w:t>
            </w:r>
            <w:r>
              <w:rPr>
                <w:rFonts w:ascii="Times New Roman" w:hAnsi="Times New Roman"/>
                <w:sz w:val="22"/>
              </w:rPr>
              <w:t>об</w:t>
            </w:r>
            <w:r>
              <w:rPr>
                <w:rFonts w:ascii="Times New Roman" w:hAnsi="Times New Roman"/>
                <w:sz w:val="22"/>
              </w:rPr>
              <w:t>щей площадью 15,70 кв.м., кадастровый номер 55:36:000000:141250</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ул. Пархоменко, ГСК «Восток-1», бокс 32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Верховская О.В.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00000">
            <w:pPr>
              <w:spacing w:line="240" w:lineRule="auto"/>
              <w:ind w:firstLine="0" w:left="-108"/>
              <w:jc w:val="center"/>
              <w:rPr>
                <w:sz w:val="22"/>
              </w:rPr>
            </w:pPr>
            <w:r>
              <w:rPr>
                <w:sz w:val="22"/>
              </w:rPr>
              <w:t>431 300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00000">
            <w:pPr>
              <w:pStyle w:val="Style_2"/>
              <w:spacing w:line="240" w:lineRule="auto"/>
              <w:ind w:firstLine="0" w:left="-108"/>
              <w:jc w:val="center"/>
              <w:rPr>
                <w:sz w:val="22"/>
              </w:rPr>
            </w:pPr>
            <w:r>
              <w:rPr>
                <w:sz w:val="22"/>
              </w:rPr>
              <w:t>216 000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00000">
            <w:pPr>
              <w:pStyle w:val="Style_2"/>
              <w:spacing w:line="240" w:lineRule="auto"/>
              <w:ind w:firstLine="0" w:left="-108"/>
              <w:jc w:val="center"/>
              <w:rPr>
                <w:sz w:val="22"/>
              </w:rPr>
            </w:pPr>
            <w:r>
              <w:rPr>
                <w:sz w:val="22"/>
              </w:rPr>
              <w:t>9890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9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w:t>
            </w:r>
            <w:r>
              <w:rPr>
                <w:rFonts w:ascii="Times New Roman" w:hAnsi="Times New Roman"/>
                <w:sz w:val="22"/>
              </w:rPr>
              <w:t>ие (</w:t>
            </w:r>
            <w:r>
              <w:rPr>
                <w:rFonts w:ascii="Times New Roman" w:hAnsi="Times New Roman"/>
                <w:sz w:val="22"/>
              </w:rPr>
              <w:t xml:space="preserve">гаражный бокс), </w:t>
            </w:r>
            <w:r>
              <w:rPr>
                <w:rFonts w:ascii="Times New Roman" w:hAnsi="Times New Roman"/>
                <w:sz w:val="22"/>
              </w:rPr>
              <w:t xml:space="preserve">общей площадью 22 кв.м., кадастровый номер </w:t>
            </w:r>
            <w:r>
              <w:rPr>
                <w:rFonts w:ascii="Times New Roman" w:hAnsi="Times New Roman"/>
                <w:sz w:val="22"/>
              </w:rPr>
              <w:t>55:36:070401</w:t>
            </w:r>
            <w:r>
              <w:rPr>
                <w:rFonts w:ascii="Times New Roman" w:hAnsi="Times New Roman"/>
                <w:sz w:val="22"/>
              </w:rPr>
              <w:t>:10649</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Мостоотряд-63, ГСК «Полет-28Б», бокс 188</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Визгалев Я.А.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00000">
            <w:pPr>
              <w:spacing w:line="240" w:lineRule="auto"/>
              <w:ind w:firstLine="0" w:left="-108"/>
              <w:jc w:val="center"/>
              <w:rPr>
                <w:sz w:val="22"/>
              </w:rPr>
            </w:pPr>
            <w:r>
              <w:rPr>
                <w:sz w:val="22"/>
              </w:rPr>
              <w:t>546 800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00000">
            <w:pPr>
              <w:pStyle w:val="Style_2"/>
              <w:spacing w:line="240" w:lineRule="auto"/>
              <w:ind w:firstLine="0" w:left="-108"/>
              <w:jc w:val="center"/>
              <w:rPr>
                <w:sz w:val="22"/>
              </w:rPr>
            </w:pPr>
            <w:r>
              <w:rPr>
                <w:sz w:val="22"/>
              </w:rPr>
              <w:t>274 000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00000">
            <w:pPr>
              <w:pStyle w:val="Style_2"/>
              <w:spacing w:line="240" w:lineRule="auto"/>
              <w:ind w:firstLine="0" w:left="-108"/>
              <w:jc w:val="center"/>
              <w:rPr>
                <w:sz w:val="22"/>
              </w:rPr>
            </w:pPr>
            <w:r>
              <w:rPr>
                <w:sz w:val="22"/>
              </w:rPr>
              <w:t>20 000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00000">
            <w:pPr>
              <w:pStyle w:val="Style_2"/>
              <w:spacing w:line="240" w:lineRule="auto"/>
              <w:ind w:firstLine="0" w:left="-108"/>
              <w:jc w:val="center"/>
              <w:rPr>
                <w:sz w:val="22"/>
              </w:rPr>
            </w:pPr>
            <w:r>
              <w:rPr>
                <w:sz w:val="22"/>
              </w:rPr>
              <w:t>9892</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0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w:t>
            </w:r>
            <w:r>
              <w:rPr>
                <w:rFonts w:ascii="Times New Roman" w:hAnsi="Times New Roman"/>
                <w:sz w:val="22"/>
              </w:rPr>
              <w:t>емельный участок, площадью 1435 кв.м., када</w:t>
            </w:r>
            <w:r>
              <w:rPr>
                <w:rFonts w:ascii="Times New Roman" w:hAnsi="Times New Roman"/>
                <w:sz w:val="22"/>
              </w:rPr>
              <w:t xml:space="preserve">стровый номер 55:33:220202:202, </w:t>
            </w:r>
            <w:r>
              <w:rPr>
                <w:rFonts w:ascii="Times New Roman" w:hAnsi="Times New Roman"/>
                <w:sz w:val="22"/>
              </w:rPr>
              <w:t>земли населенных пунктов, для ведения личного подсобного хозяйств</w:t>
            </w:r>
            <w:r>
              <w:rPr>
                <w:rFonts w:ascii="Times New Roman" w:hAnsi="Times New Roman"/>
                <w:sz w:val="22"/>
              </w:rPr>
              <w:t xml:space="preserve">а. </w:t>
            </w:r>
            <w:r>
              <w:rPr>
                <w:sz w:val="22"/>
              </w:rPr>
              <w:t xml:space="preserve">Ограничения прав на земельный участок, предусмотренные ст. 56 Земельного кодекса Российской Федерации </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Омская обл., Исилькульский муниципальный р-н, городское поселение Исилькульское, город Исилькуль, ул. Пригородная, земельный участок 79</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Сергазин Р.Ж.</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00000">
            <w:pPr>
              <w:spacing w:line="240" w:lineRule="auto"/>
              <w:ind w:firstLine="0" w:left="-108"/>
              <w:jc w:val="center"/>
              <w:rPr>
                <w:sz w:val="22"/>
              </w:rPr>
            </w:pPr>
            <w:r>
              <w:rPr>
                <w:sz w:val="22"/>
              </w:rPr>
              <w:t>318 900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00000">
            <w:pPr>
              <w:pStyle w:val="Style_2"/>
              <w:spacing w:line="240" w:lineRule="auto"/>
              <w:ind w:firstLine="0" w:left="-108"/>
              <w:jc w:val="center"/>
              <w:rPr>
                <w:sz w:val="22"/>
              </w:rPr>
            </w:pPr>
            <w:r>
              <w:rPr>
                <w:sz w:val="22"/>
              </w:rPr>
              <w:t>160 000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00000">
            <w:pPr>
              <w:pStyle w:val="Style_2"/>
              <w:spacing w:line="240" w:lineRule="auto"/>
              <w:ind w:firstLine="0" w:left="-108"/>
              <w:jc w:val="center"/>
              <w:rPr>
                <w:sz w:val="22"/>
              </w:rPr>
            </w:pPr>
            <w:r>
              <w:rPr>
                <w:sz w:val="22"/>
              </w:rPr>
              <w:t>9898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7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Земельный участок, площадью 505 кв.м., када</w:t>
            </w:r>
            <w:r>
              <w:rPr>
                <w:rFonts w:ascii="Times New Roman" w:hAnsi="Times New Roman"/>
                <w:sz w:val="22"/>
              </w:rPr>
              <w:t>стровый номер 55:20:110601:7777,</w:t>
            </w:r>
            <w:r>
              <w:rPr>
                <w:rFonts w:ascii="Times New Roman" w:hAnsi="Times New Roman"/>
                <w:sz w:val="22"/>
              </w:rPr>
              <w:t xml:space="preserve"> </w:t>
            </w:r>
            <w:r>
              <w:rPr>
                <w:rFonts w:ascii="Times New Roman" w:hAnsi="Times New Roman"/>
                <w:sz w:val="22"/>
              </w:rPr>
              <w:t xml:space="preserve">земли населенных пунктов, для размещения дома индивидуальной жилой застройки. </w:t>
            </w:r>
            <w:r>
              <w:rPr>
                <w:rFonts w:ascii="Times New Roman" w:hAnsi="Times New Roman"/>
                <w:sz w:val="22"/>
              </w:rPr>
              <w:t>Ограничения прав на земельный участок, предусмотренные ст. 56 Земельного кодекса Российской Федерации</w:t>
            </w:r>
            <w:r>
              <w:rPr>
                <w:rFonts w:ascii="Times New Roman" w:hAnsi="Times New Roman"/>
                <w:sz w:val="22"/>
              </w:rPr>
              <w:t xml:space="preserve">. </w:t>
            </w:r>
            <w:r>
              <w:rPr>
                <w:rFonts w:ascii="Times New Roman" w:hAnsi="Times New Roman"/>
                <w:sz w:val="22"/>
              </w:rPr>
              <w:t>Ограничение прав и обременение объекта: арест на основании постановления Куйбышевского районного суда г. Омска от 22.02.2017 № 3/6-86/2017, арест сохранен до момента реализации земельного участка в рамках исполнительного производства (дело 1-316/2019)</w:t>
            </w:r>
          </w:p>
          <w:p w14:paraId="48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 xml:space="preserve"> </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00000">
            <w:pPr>
              <w:pStyle w:val="Style_2"/>
              <w:tabs>
                <w:tab w:leader="none" w:pos="191" w:val="left"/>
                <w:tab w:leader="none" w:pos="1592" w:val="center"/>
              </w:tabs>
              <w:spacing w:line="240" w:lineRule="auto"/>
              <w:ind w:firstLine="0" w:left="0"/>
              <w:jc w:val="both"/>
              <w:rPr>
                <w:sz w:val="22"/>
              </w:rPr>
            </w:pP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1015 м по направлению на северо-запад от ориентира. Почтовый адрес ориентира: Омская обл., Омский р-н, Магистральное сельское посление, д. Зеленое Поле, стр. поз. № 37-а</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Букашева А.А.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00000">
            <w:pPr>
              <w:spacing w:line="240" w:lineRule="auto"/>
              <w:ind w:firstLine="0" w:left="-108"/>
              <w:jc w:val="center"/>
              <w:rPr>
                <w:sz w:val="22"/>
              </w:rPr>
            </w:pPr>
            <w:r>
              <w:rPr>
                <w:sz w:val="22"/>
              </w:rPr>
              <w:t>205 400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00000">
            <w:pPr>
              <w:pStyle w:val="Style_2"/>
              <w:spacing w:line="240" w:lineRule="auto"/>
              <w:ind w:firstLine="0" w:left="-108"/>
              <w:jc w:val="center"/>
              <w:rPr>
                <w:sz w:val="22"/>
              </w:rPr>
            </w:pPr>
            <w:r>
              <w:rPr>
                <w:sz w:val="22"/>
              </w:rPr>
              <w:t>103 000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00000">
            <w:pPr>
              <w:pStyle w:val="Style_2"/>
              <w:spacing w:line="240" w:lineRule="auto"/>
              <w:ind w:firstLine="0" w:left="-108"/>
              <w:jc w:val="center"/>
              <w:rPr>
                <w:sz w:val="22"/>
              </w:rPr>
            </w:pPr>
            <w:r>
              <w:rPr>
                <w:sz w:val="22"/>
              </w:rPr>
              <w:t>8 000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00000">
            <w:pPr>
              <w:pStyle w:val="Style_2"/>
              <w:spacing w:line="240" w:lineRule="auto"/>
              <w:ind w:firstLine="0" w:left="-108"/>
              <w:jc w:val="center"/>
              <w:rPr>
                <w:sz w:val="22"/>
              </w:rPr>
            </w:pPr>
            <w:r>
              <w:rPr>
                <w:sz w:val="22"/>
              </w:rPr>
              <w:t>9900</w:t>
            </w:r>
          </w:p>
        </w:tc>
      </w:tr>
    </w:tbl>
    <w:p w14:paraId="4F000000">
      <w:pPr>
        <w:spacing w:line="240" w:lineRule="auto"/>
        <w:ind w:firstLine="567" w:left="0"/>
        <w:jc w:val="both"/>
        <w:rPr>
          <w:sz w:val="22"/>
        </w:rPr>
      </w:pPr>
    </w:p>
    <w:p w14:paraId="50000000">
      <w:pPr>
        <w:spacing w:line="240" w:lineRule="auto"/>
        <w:ind w:firstLine="567" w:left="0"/>
        <w:jc w:val="both"/>
        <w:rPr>
          <w:sz w:val="22"/>
        </w:rPr>
      </w:pPr>
      <w:r>
        <w:rPr>
          <w:sz w:val="22"/>
        </w:rPr>
        <w:t>Настоящее извещение о проведении торгов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1000000">
      <w:pPr>
        <w:spacing w:line="240" w:lineRule="auto"/>
        <w:ind w:firstLine="567" w:left="0"/>
        <w:jc w:val="both"/>
        <w:rPr>
          <w:sz w:val="22"/>
        </w:rPr>
      </w:pPr>
      <w:r>
        <w:rPr>
          <w:sz w:val="22"/>
        </w:rPr>
        <w:t>Зачисление и вывод (возврат) денежных средств осуществляется в соответствии с Регламентом торговой секц</w:t>
      </w:r>
      <w:r>
        <w:rPr>
          <w:sz w:val="22"/>
        </w:rPr>
        <w:t>ии АО</w:t>
      </w:r>
      <w:r>
        <w:rPr>
          <w:sz w:val="22"/>
        </w:rPr>
        <w:t xml:space="preserve"> «</w:t>
      </w:r>
      <w:r>
        <w:rPr>
          <w:sz w:val="22"/>
        </w:rPr>
        <w:t>Сбербанк-АСТ</w:t>
      </w:r>
      <w:r>
        <w:rPr>
          <w:sz w:val="22"/>
        </w:rPr>
        <w:t>».</w:t>
      </w:r>
    </w:p>
    <w:p w14:paraId="52000000">
      <w:pPr>
        <w:spacing w:line="240" w:lineRule="auto"/>
        <w:ind w:firstLine="567" w:left="0"/>
        <w:jc w:val="both"/>
        <w:rPr>
          <w:sz w:val="22"/>
        </w:rPr>
      </w:pPr>
      <w:r>
        <w:rPr>
          <w:sz w:val="22"/>
        </w:rPr>
        <w:t xml:space="preserve">Задаток должен быть внесен </w:t>
      </w:r>
      <w:r>
        <w:rPr>
          <w:sz w:val="22"/>
        </w:rPr>
        <w:t>в соответствии с Регламентом торговой секции в установленном в настоящем извещении о проведении</w:t>
      </w:r>
      <w:r>
        <w:rPr>
          <w:sz w:val="22"/>
        </w:rPr>
        <w:t xml:space="preserve"> торгов размере по реквизитам универсальной торговой платформы АО «</w:t>
      </w:r>
      <w:r>
        <w:rPr>
          <w:sz w:val="22"/>
        </w:rPr>
        <w:t>Сбербанк-АСТ</w:t>
      </w:r>
      <w:r>
        <w:rPr>
          <w:sz w:val="22"/>
        </w:rPr>
        <w:t>»: ПОЛУЧАТЕЛЬ: Наименование: АО "</w:t>
      </w:r>
      <w:r>
        <w:rPr>
          <w:sz w:val="22"/>
        </w:rPr>
        <w:t>Сбербанк-АСТ</w:t>
      </w:r>
      <w:r>
        <w:rPr>
          <w:sz w:val="22"/>
        </w:rPr>
        <w:t>" ИНН: 7707308480 КПП: 770401001 Расчетный счет: 40702810300020038047 БАНК ПОЛУЧАТЕЛЯ: Наименование банка: ПАО "СБЕРБАНК РОССИИ" Г.МОСКВА БИК: 044525225 Корреспондентский счет: 30101810400000000225. В назначении платежа указывается: «Перечисление денежных сре</w:t>
      </w:r>
      <w:r>
        <w:rPr>
          <w:sz w:val="22"/>
        </w:rPr>
        <w:t>дств в к</w:t>
      </w:r>
      <w:r>
        <w:rPr>
          <w:sz w:val="22"/>
        </w:rPr>
        <w:t xml:space="preserve">ачестве задатка (депозита) за участие в торгах </w:t>
      </w:r>
      <w:r>
        <w:rPr>
          <w:b w:val="1"/>
          <w:sz w:val="22"/>
        </w:rPr>
        <w:t>по лоту №____</w:t>
      </w:r>
      <w:r>
        <w:rPr>
          <w:sz w:val="22"/>
        </w:rPr>
        <w:t xml:space="preserve">,(ИНН плательщика), НДС не облагается». </w:t>
      </w:r>
    </w:p>
    <w:p w14:paraId="53000000">
      <w:pPr>
        <w:spacing w:line="240" w:lineRule="auto"/>
        <w:ind w:firstLine="567" w:left="0"/>
        <w:jc w:val="both"/>
        <w:rPr>
          <w:b w:val="1"/>
          <w:color w:val="FF0000"/>
          <w:sz w:val="22"/>
        </w:rPr>
      </w:pPr>
      <w:r>
        <w:rPr>
          <w:sz w:val="22"/>
        </w:rPr>
        <w:t xml:space="preserve">Задаток должен поступить </w:t>
      </w:r>
      <w:r>
        <w:rPr>
          <w:b w:val="1"/>
          <w:sz w:val="22"/>
        </w:rPr>
        <w:t xml:space="preserve">не позднее </w:t>
      </w:r>
      <w:r>
        <w:rPr>
          <w:rStyle w:val="Style_2_ch"/>
          <w:rFonts w:ascii="Times New Roman" w:hAnsi="Times New Roman"/>
          <w:b w:val="1"/>
          <w:color w:val="FF0000"/>
          <w:sz w:val="22"/>
        </w:rPr>
        <w:t>2</w:t>
      </w:r>
      <w:r>
        <w:rPr>
          <w:rStyle w:val="Style_2_ch"/>
          <w:rFonts w:ascii="Times New Roman" w:hAnsi="Times New Roman"/>
          <w:b w:val="1"/>
          <w:color w:val="FF0000"/>
          <w:sz w:val="22"/>
        </w:rPr>
        <w:t xml:space="preserve">6 </w:t>
      </w:r>
      <w:r>
        <w:rPr>
          <w:rFonts w:ascii="Times New Roman" w:hAnsi="Times New Roman"/>
          <w:b w:val="1"/>
          <w:color w:val="FF0000"/>
          <w:sz w:val="22"/>
        </w:rPr>
        <w:t>января</w:t>
      </w:r>
      <w:r>
        <w:rPr>
          <w:rFonts w:ascii="Times New Roman" w:hAnsi="Times New Roman"/>
          <w:b w:val="1"/>
          <w:color w:val="FF0000"/>
          <w:sz w:val="22"/>
        </w:rPr>
        <w:t xml:space="preserve"> 2026 </w:t>
      </w:r>
      <w:r>
        <w:rPr>
          <w:b w:val="1"/>
          <w:color w:val="FF0000"/>
          <w:sz w:val="22"/>
        </w:rPr>
        <w:t>г.</w:t>
      </w:r>
    </w:p>
    <w:p w14:paraId="54000000">
      <w:pPr>
        <w:spacing w:line="240" w:lineRule="auto"/>
        <w:ind w:firstLine="567" w:left="0"/>
        <w:jc w:val="both"/>
        <w:rPr>
          <w:sz w:val="22"/>
        </w:rPr>
      </w:pPr>
      <w:r>
        <w:rPr>
          <w:sz w:val="22"/>
        </w:rPr>
        <w:t>Внесенный задаток не возвращается в случае, если заявитель, признанный победителем торгов:</w:t>
      </w:r>
    </w:p>
    <w:p w14:paraId="55000000">
      <w:pPr>
        <w:spacing w:line="240" w:lineRule="auto"/>
        <w:ind w:firstLine="567" w:left="0"/>
        <w:jc w:val="both"/>
        <w:rPr>
          <w:sz w:val="22"/>
        </w:rPr>
      </w:pPr>
      <w:r>
        <w:rPr>
          <w:sz w:val="22"/>
        </w:rPr>
        <w:t xml:space="preserve">- уклонится от подписания Протокола о результатах торгов в установленный срок; </w:t>
      </w:r>
    </w:p>
    <w:p w14:paraId="56000000">
      <w:pPr>
        <w:spacing w:line="240" w:lineRule="auto"/>
        <w:ind w:firstLine="567" w:left="0"/>
        <w:jc w:val="both"/>
        <w:rPr>
          <w:sz w:val="22"/>
        </w:rPr>
      </w:pPr>
      <w:r>
        <w:rPr>
          <w:sz w:val="22"/>
        </w:rPr>
        <w:t>- уклонится от оплаты продаваемого на торгах имущества в срок, установленный подписанным Протоколом о результатах торгов.</w:t>
      </w:r>
    </w:p>
    <w:p w14:paraId="57000000">
      <w:pPr>
        <w:spacing w:line="240" w:lineRule="auto"/>
        <w:ind w:firstLine="567" w:left="0"/>
        <w:jc w:val="both"/>
        <w:rPr>
          <w:sz w:val="22"/>
        </w:rPr>
      </w:pPr>
      <w:r>
        <w:rPr>
          <w:sz w:val="22"/>
        </w:rPr>
        <w:t xml:space="preserve">Внесенный заявителем задаток засчитывается </w:t>
      </w:r>
      <w:r>
        <w:rPr>
          <w:sz w:val="22"/>
        </w:rPr>
        <w:t>в счет оплаты приобретаемого на торгах имущества при подписании в установленном порядке Протокола о результатах</w:t>
      </w:r>
      <w:r>
        <w:rPr>
          <w:sz w:val="22"/>
        </w:rPr>
        <w:t xml:space="preserve"> торгов. </w:t>
      </w:r>
    </w:p>
    <w:p w14:paraId="58000000">
      <w:pPr>
        <w:spacing w:line="240" w:lineRule="auto"/>
        <w:ind w:firstLine="567" w:left="0"/>
        <w:jc w:val="both"/>
        <w:rPr>
          <w:sz w:val="22"/>
        </w:rPr>
      </w:pPr>
      <w:r>
        <w:rPr>
          <w:sz w:val="22"/>
        </w:rPr>
        <w:t>Прием заявок осуществляется в соответствии с Регламентом торговой секц</w:t>
      </w:r>
      <w:r>
        <w:rPr>
          <w:sz w:val="22"/>
        </w:rPr>
        <w:t>ии АО</w:t>
      </w:r>
      <w:r>
        <w:rPr>
          <w:sz w:val="22"/>
        </w:rPr>
        <w:t xml:space="preserve"> «</w:t>
      </w:r>
      <w:r>
        <w:rPr>
          <w:sz w:val="22"/>
        </w:rPr>
        <w:t>Сбербанк-АСТ</w:t>
      </w:r>
      <w:r>
        <w:rPr>
          <w:sz w:val="22"/>
        </w:rPr>
        <w:t xml:space="preserve">». </w:t>
      </w:r>
    </w:p>
    <w:p w14:paraId="59000000">
      <w:pPr>
        <w:spacing w:line="240" w:lineRule="auto"/>
        <w:ind w:firstLine="567" w:left="0"/>
        <w:jc w:val="both"/>
        <w:rPr>
          <w:sz w:val="22"/>
        </w:rPr>
      </w:pPr>
      <w:r>
        <w:rPr>
          <w:sz w:val="22"/>
        </w:rPr>
        <w:t xml:space="preserve">Дата начала подачи заявок на участие в аукционе и прилагаемых к ним документов: </w:t>
      </w:r>
      <w:r>
        <w:rPr>
          <w:b w:val="1"/>
          <w:color w:val="FF0000"/>
          <w:sz w:val="22"/>
        </w:rPr>
        <w:t xml:space="preserve"> 29 декабря 2025 г</w:t>
      </w:r>
      <w:r>
        <w:rPr>
          <w:b w:val="1"/>
          <w:color w:val="FF0000"/>
          <w:sz w:val="22"/>
        </w:rPr>
        <w:t>.в</w:t>
      </w:r>
      <w:r>
        <w:rPr>
          <w:b w:val="1"/>
          <w:color w:val="FF0000"/>
          <w:sz w:val="22"/>
        </w:rPr>
        <w:t xml:space="preserve"> 07-00 </w:t>
      </w:r>
      <w:r>
        <w:rPr>
          <w:sz w:val="22"/>
        </w:rPr>
        <w:t>(время московское).</w:t>
      </w:r>
    </w:p>
    <w:p w14:paraId="5A000000">
      <w:pPr>
        <w:spacing w:line="240" w:lineRule="auto"/>
        <w:ind w:firstLine="567" w:left="0"/>
        <w:jc w:val="both"/>
        <w:rPr>
          <w:sz w:val="22"/>
        </w:rPr>
      </w:pPr>
      <w:r>
        <w:rPr>
          <w:sz w:val="22"/>
        </w:rPr>
        <w:t xml:space="preserve">Дата окончания подачи заявок на участие в аукционе и прилагаемых к ним документов: </w:t>
      </w:r>
      <w:r>
        <w:rPr>
          <w:rFonts w:ascii="Times New Roman" w:hAnsi="Times New Roman"/>
          <w:b w:val="1"/>
          <w:color w:val="FF0000"/>
          <w:sz w:val="22"/>
        </w:rPr>
        <w:t>26 января</w:t>
      </w:r>
      <w:r>
        <w:rPr>
          <w:rFonts w:ascii="Times New Roman" w:hAnsi="Times New Roman"/>
          <w:b w:val="1"/>
          <w:color w:val="FF0000"/>
          <w:sz w:val="22"/>
        </w:rPr>
        <w:t xml:space="preserve"> </w:t>
      </w:r>
      <w:r>
        <w:rPr>
          <w:b w:val="1"/>
          <w:color w:val="FF0000"/>
          <w:sz w:val="22"/>
        </w:rPr>
        <w:t xml:space="preserve">2026 г. в 20.59 </w:t>
      </w:r>
      <w:r>
        <w:rPr>
          <w:sz w:val="22"/>
        </w:rPr>
        <w:t>(время московское).</w:t>
      </w:r>
    </w:p>
    <w:p w14:paraId="5B000000">
      <w:pPr>
        <w:spacing w:line="240" w:lineRule="auto"/>
        <w:ind w:firstLine="567" w:left="0"/>
        <w:jc w:val="both"/>
        <w:rPr>
          <w:b w:val="1"/>
          <w:color w:val="FF0000"/>
          <w:sz w:val="22"/>
        </w:rPr>
      </w:pPr>
      <w:r>
        <w:rPr>
          <w:sz w:val="22"/>
        </w:rPr>
        <w:t>Итоги приема и регистрации заявок подводятся комиссией по проведению торгов:</w:t>
      </w:r>
      <w:r>
        <w:rPr>
          <w:rStyle w:val="Style_3_ch"/>
          <w:b w:val="1"/>
          <w:color w:val="FF0000"/>
          <w:sz w:val="22"/>
        </w:rPr>
        <w:t xml:space="preserve"> 28 января 2026</w:t>
      </w:r>
      <w:r>
        <w:rPr>
          <w:b w:val="1"/>
          <w:color w:val="FF0000"/>
          <w:sz w:val="22"/>
        </w:rPr>
        <w:t xml:space="preserve"> г. в 14 ч. 00 мин.</w:t>
      </w:r>
    </w:p>
    <w:p w14:paraId="5C000000">
      <w:pPr>
        <w:spacing w:line="240" w:lineRule="auto"/>
        <w:ind w:firstLine="567" w:left="0"/>
        <w:jc w:val="both"/>
        <w:rPr>
          <w:sz w:val="22"/>
        </w:rPr>
      </w:pPr>
      <w:r>
        <w:rPr>
          <w:sz w:val="22"/>
        </w:rPr>
        <w:t>Продавец оставляет за собой право снять выставленное имущество с торгов по постановлению судебного пристава-исполнителя.</w:t>
      </w:r>
    </w:p>
    <w:p w14:paraId="5D000000">
      <w:pPr>
        <w:spacing w:line="240" w:lineRule="auto"/>
        <w:ind w:firstLine="567" w:left="0"/>
        <w:jc w:val="both"/>
        <w:rPr>
          <w:sz w:val="22"/>
        </w:rPr>
      </w:pPr>
      <w:r>
        <w:rPr>
          <w:sz w:val="22"/>
        </w:rPr>
        <w:t>Порядок проведения торгов установлен Регламентом торговой секц</w:t>
      </w:r>
      <w:r>
        <w:rPr>
          <w:sz w:val="22"/>
        </w:rPr>
        <w:t>ии АО</w:t>
      </w:r>
      <w:r>
        <w:rPr>
          <w:sz w:val="22"/>
        </w:rPr>
        <w:t xml:space="preserve"> «</w:t>
      </w:r>
      <w:r>
        <w:rPr>
          <w:sz w:val="22"/>
        </w:rPr>
        <w:t>Сбербанк-АСТ</w:t>
      </w:r>
      <w:r>
        <w:rPr>
          <w:sz w:val="22"/>
        </w:rPr>
        <w:t>».</w:t>
      </w:r>
    </w:p>
    <w:p w14:paraId="5E000000">
      <w:pPr>
        <w:spacing w:line="240" w:lineRule="auto"/>
        <w:ind w:firstLine="567" w:left="0"/>
        <w:jc w:val="both"/>
        <w:rPr>
          <w:sz w:val="22"/>
        </w:rPr>
      </w:pPr>
      <w:r>
        <w:rPr>
          <w:sz w:val="22"/>
        </w:rPr>
        <w:t>Критерий определения победителя - наибольшая сумма, предложенная участником за объект торгов.</w:t>
      </w:r>
    </w:p>
    <w:p w14:paraId="5F000000">
      <w:pPr>
        <w:spacing w:line="240" w:lineRule="auto"/>
        <w:ind w:firstLine="567" w:left="0"/>
        <w:jc w:val="both"/>
        <w:rPr>
          <w:sz w:val="22"/>
        </w:rPr>
      </w:pPr>
      <w:r>
        <w:rPr>
          <w:sz w:val="22"/>
        </w:rPr>
        <w:t>Продавец и победитель торгов подписывают Протокол о результатах торгов в день проведения торгов (по адресу Продавца или в электронном виде посредством электронной почты (для иногородних участников торгов)). Время прибытия для подписания Протокола о результатах торгов необходимо согласовать по телефону: 8 (3812) 24-73-89.</w:t>
      </w:r>
    </w:p>
    <w:p w14:paraId="60000000">
      <w:pPr>
        <w:spacing w:line="240" w:lineRule="auto"/>
        <w:ind w:firstLine="567" w:left="0"/>
        <w:jc w:val="both"/>
        <w:rPr>
          <w:sz w:val="22"/>
        </w:rPr>
      </w:pPr>
      <w:r>
        <w:rPr>
          <w:sz w:val="22"/>
        </w:rPr>
        <w:t xml:space="preserve">Победитель торгов в течение 5 рабочих дней должен </w:t>
      </w:r>
      <w:r>
        <w:rPr>
          <w:sz w:val="22"/>
        </w:rPr>
        <w:t>оплатить стоимость приобретаемого</w:t>
      </w:r>
      <w:r>
        <w:rPr>
          <w:sz w:val="22"/>
        </w:rPr>
        <w:t xml:space="preserve"> имущества.</w:t>
      </w:r>
    </w:p>
    <w:p w14:paraId="61000000">
      <w:pPr>
        <w:spacing w:line="240" w:lineRule="auto"/>
        <w:ind w:firstLine="540" w:left="0"/>
        <w:jc w:val="both"/>
        <w:rPr>
          <w:sz w:val="22"/>
        </w:rPr>
      </w:pPr>
      <w:r>
        <w:rPr>
          <w:sz w:val="22"/>
        </w:rPr>
        <w:t>Продавец объявляет торги несостоявшимися в случаях, когда:</w:t>
      </w:r>
    </w:p>
    <w:p w14:paraId="62000000">
      <w:pPr>
        <w:spacing w:line="240" w:lineRule="auto"/>
        <w:ind w:firstLine="540" w:left="0"/>
        <w:jc w:val="both"/>
        <w:rPr>
          <w:sz w:val="22"/>
        </w:rPr>
      </w:pPr>
      <w:r>
        <w:rPr>
          <w:sz w:val="22"/>
        </w:rPr>
        <w:t>1) заявки на участие в торгах подали менее двух лиц; на торги не явились участники торгов либо явился один участник торгов (на торги явилось менее двух покупателей</w:t>
      </w:r>
      <w:r>
        <w:rPr>
          <w:sz w:val="22"/>
        </w:rPr>
        <w:t xml:space="preserve">). </w:t>
      </w:r>
      <w:r>
        <w:rPr>
          <w:b w:val="1"/>
          <w:sz w:val="22"/>
        </w:rPr>
        <w:t>В</w:t>
      </w:r>
      <w:r>
        <w:rPr>
          <w:b w:val="1"/>
          <w:sz w:val="22"/>
        </w:rPr>
        <w:t>нимание! В условиях проведения электронных аукционов явка участников означает присутствие в едином торговом зале</w:t>
      </w:r>
      <w:r>
        <w:rPr>
          <w:sz w:val="22"/>
        </w:rPr>
        <w:t>;</w:t>
      </w:r>
    </w:p>
    <w:p w14:paraId="63000000">
      <w:pPr>
        <w:spacing w:line="240" w:lineRule="auto"/>
        <w:ind w:firstLine="540" w:left="0"/>
        <w:jc w:val="both"/>
        <w:rPr>
          <w:sz w:val="22"/>
        </w:rPr>
      </w:pPr>
      <w:r>
        <w:rPr>
          <w:sz w:val="22"/>
        </w:rPr>
        <w:t>2) на публичных торгах не сделана надбавка против начальной продажной цены имущества;</w:t>
      </w:r>
    </w:p>
    <w:p w14:paraId="64000000">
      <w:pPr>
        <w:spacing w:line="240" w:lineRule="auto"/>
        <w:ind w:firstLine="540" w:left="0"/>
        <w:jc w:val="both"/>
        <w:rPr>
          <w:sz w:val="22"/>
        </w:rPr>
      </w:pPr>
      <w:r>
        <w:rPr>
          <w:sz w:val="22"/>
        </w:rPr>
        <w:t>3) лицо, выигравшее публичные торги, не внесло покупную цену в установленный срок.</w:t>
      </w:r>
    </w:p>
    <w:p w14:paraId="65000000">
      <w:pPr>
        <w:spacing w:line="240" w:lineRule="auto"/>
        <w:ind w:firstLine="567" w:left="0"/>
        <w:jc w:val="both"/>
        <w:rPr>
          <w:sz w:val="22"/>
        </w:rPr>
      </w:pPr>
      <w:r>
        <w:rPr>
          <w:sz w:val="22"/>
        </w:rPr>
        <w:t xml:space="preserve">Торги проводятся в соответствии со ст.447-449.1. ГК РФ, Федеральным законом от 16.07.1998 г. № 102-ФЗ «Об ипотеке (залоге недвижимости)», Федеральным законом № 229-ФЗ от 02.10.2007 "Об исполнительном производстве".   </w:t>
      </w:r>
    </w:p>
    <w:p w14:paraId="66000000">
      <w:pPr>
        <w:spacing w:line="240" w:lineRule="auto"/>
        <w:ind w:firstLine="540" w:left="0"/>
        <w:jc w:val="both"/>
        <w:rPr>
          <w:sz w:val="22"/>
        </w:rPr>
      </w:pPr>
    </w:p>
    <w:p w14:paraId="67000000">
      <w:pPr>
        <w:spacing w:line="240" w:lineRule="auto"/>
        <w:ind w:firstLine="0" w:left="0"/>
        <w:jc w:val="center"/>
        <w:rPr>
          <w:b w:val="1"/>
          <w:sz w:val="22"/>
        </w:rPr>
      </w:pPr>
      <w:r>
        <w:rPr>
          <w:b w:val="1"/>
          <w:sz w:val="22"/>
        </w:rPr>
        <w:t>Документы, представляемые для участия в торгах:</w:t>
      </w:r>
    </w:p>
    <w:p w14:paraId="68000000">
      <w:pPr>
        <w:spacing w:line="240" w:lineRule="auto"/>
        <w:ind w:firstLine="567" w:left="0"/>
        <w:jc w:val="both"/>
        <w:rPr>
          <w:sz w:val="22"/>
        </w:rPr>
      </w:pPr>
      <w:r>
        <w:rPr>
          <w:sz w:val="22"/>
        </w:rPr>
        <w:t>-  Заявка установленного образца, подписанная заявителем.</w:t>
      </w:r>
    </w:p>
    <w:p w14:paraId="69000000">
      <w:pPr>
        <w:spacing w:line="240" w:lineRule="auto"/>
        <w:ind w:firstLine="567" w:left="0"/>
        <w:jc w:val="both"/>
        <w:rPr>
          <w:sz w:val="22"/>
        </w:rPr>
      </w:pPr>
      <w:r>
        <w:rPr>
          <w:sz w:val="22"/>
        </w:rPr>
        <w:t>- Свидетельства о регистрации (для организаций, зарегистрированных до 01.01.2017), учредительные документы; надлежащим образом оформленные и заверенные документы, подтверждающие полномочия органов управления и должностных лиц заявителя;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подписанное уполномоченными лицами соответствующего органа  управления с проставлением печати юридического лица (для юридических лиц).</w:t>
      </w:r>
    </w:p>
    <w:p w14:paraId="6A000000">
      <w:pPr>
        <w:spacing w:line="240" w:lineRule="auto"/>
        <w:ind w:firstLine="567" w:left="0"/>
        <w:jc w:val="both"/>
        <w:rPr>
          <w:sz w:val="22"/>
        </w:rPr>
      </w:pPr>
      <w:r>
        <w:rPr>
          <w:sz w:val="22"/>
        </w:rPr>
        <w:t>-  Копии паспортов (для физических лиц, индивидуальных предпринимателей): страница 2, страница 3, страница с указанием места жительства.</w:t>
      </w:r>
    </w:p>
    <w:p w14:paraId="6B000000">
      <w:pPr>
        <w:numPr>
          <w:numId w:val="1"/>
        </w:numPr>
        <w:spacing w:line="240" w:lineRule="auto"/>
        <w:ind/>
        <w:jc w:val="both"/>
        <w:rPr>
          <w:rFonts w:ascii="Times New Roman" w:hAnsi="Times New Roman"/>
          <w:b w:val="1"/>
          <w:sz w:val="22"/>
        </w:rPr>
      </w:pPr>
      <w:r>
        <w:rPr>
          <w:rFonts w:ascii="Times New Roman" w:hAnsi="Times New Roman"/>
          <w:b w:val="1"/>
          <w:sz w:val="22"/>
        </w:rPr>
        <w:t>Отдельно оформленное согласие на обработку персональных данных</w:t>
      </w:r>
      <w:r>
        <w:rPr>
          <w:rFonts w:ascii="Times New Roman" w:hAnsi="Times New Roman"/>
          <w:b w:val="1"/>
          <w:sz w:val="22"/>
        </w:rPr>
        <w:t xml:space="preserve"> (форма согласия приложена к настоящему извещению);</w:t>
      </w:r>
    </w:p>
    <w:p w14:paraId="6C000000">
      <w:pPr>
        <w:spacing w:line="240" w:lineRule="auto"/>
        <w:ind w:firstLine="567" w:left="0"/>
        <w:jc w:val="both"/>
        <w:rPr>
          <w:sz w:val="22"/>
        </w:rPr>
      </w:pPr>
      <w:r>
        <w:rPr>
          <w:sz w:val="22"/>
        </w:rPr>
        <w:t>- Доверенность на лицо, уполномоченное действовать от имени заявителя при подаче заявки на участие в торгах, оформленная в соответствии с требованиями, установленными гражданским законодательством.</w:t>
      </w:r>
    </w:p>
    <w:p w14:paraId="6D000000">
      <w:pPr>
        <w:spacing w:line="240" w:lineRule="auto"/>
        <w:ind w:firstLine="567" w:left="0"/>
        <w:jc w:val="both"/>
        <w:rPr>
          <w:sz w:val="22"/>
        </w:rPr>
      </w:pPr>
      <w:r>
        <w:rPr>
          <w:sz w:val="22"/>
        </w:rPr>
        <w:t>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 п., не рассматриваются.</w:t>
      </w:r>
    </w:p>
    <w:p w14:paraId="6E000000">
      <w:pPr>
        <w:spacing w:line="240" w:lineRule="auto"/>
        <w:ind w:firstLine="567" w:left="0"/>
        <w:jc w:val="both"/>
        <w:rPr>
          <w:sz w:val="22"/>
        </w:rPr>
      </w:pPr>
      <w:r>
        <w:rPr>
          <w:sz w:val="22"/>
        </w:rPr>
        <w:t>Продавец отказывает заявителю в допуске на участие в торгах в следующих случаях:</w:t>
      </w:r>
    </w:p>
    <w:p w14:paraId="6F000000">
      <w:pPr>
        <w:spacing w:line="240" w:lineRule="auto"/>
        <w:ind w:firstLine="567" w:left="0"/>
        <w:jc w:val="both"/>
        <w:rPr>
          <w:sz w:val="22"/>
        </w:rPr>
      </w:pPr>
      <w:r>
        <w:rPr>
          <w:sz w:val="22"/>
        </w:rPr>
        <w:t>- заявка на участие в торгах подана не по установленной форме;</w:t>
      </w:r>
    </w:p>
    <w:p w14:paraId="70000000">
      <w:pPr>
        <w:spacing w:line="240" w:lineRule="auto"/>
        <w:ind w:firstLine="567" w:left="0"/>
        <w:jc w:val="both"/>
        <w:rPr>
          <w:sz w:val="22"/>
        </w:rPr>
      </w:pPr>
      <w:r>
        <w:rPr>
          <w:sz w:val="22"/>
        </w:rPr>
        <w:t>- заявка подана лицом, не уполномоченным заявителем на осуществление таких действий;</w:t>
      </w:r>
    </w:p>
    <w:p w14:paraId="71000000">
      <w:pPr>
        <w:spacing w:line="240" w:lineRule="auto"/>
        <w:ind w:firstLine="567" w:left="0"/>
        <w:jc w:val="both"/>
      </w:pPr>
      <w:r>
        <w:rPr>
          <w:sz w:val="22"/>
        </w:rPr>
        <w:t xml:space="preserve">- </w:t>
      </w:r>
      <w:r>
        <w:rPr>
          <w:sz w:val="22"/>
        </w:rPr>
        <w:t xml:space="preserve">приложенные к заявке документы не соответствуют перечню, установленному в извещении о </w:t>
      </w:r>
      <w:r>
        <w:rPr>
          <w:sz w:val="22"/>
        </w:rPr>
        <w:t>проведении торгов</w:t>
      </w:r>
      <w:r>
        <w:rPr>
          <w:sz w:val="22"/>
        </w:rPr>
        <w:t xml:space="preserve"> (в т.ч. отсутствует </w:t>
      </w:r>
      <w:r>
        <w:rPr>
          <w:rFonts w:ascii="Times New Roman" w:hAnsi="Times New Roman"/>
          <w:b w:val="1"/>
          <w:sz w:val="22"/>
        </w:rPr>
        <w:t>отдельно оформленное согласие на обработку персональных данных в соответствии с ч.</w:t>
      </w:r>
      <w:r>
        <w:rPr>
          <w:rFonts w:ascii="Times New Roman" w:hAnsi="Times New Roman"/>
          <w:b w:val="1"/>
          <w:sz w:val="22"/>
        </w:rPr>
        <w:t xml:space="preserve"> 1 ст</w:t>
      </w:r>
      <w:r>
        <w:rPr>
          <w:rFonts w:ascii="Times New Roman" w:hAnsi="Times New Roman"/>
          <w:b w:val="1"/>
          <w:sz w:val="22"/>
        </w:rPr>
        <w:t xml:space="preserve">. 9 </w:t>
      </w:r>
      <w:r>
        <w:rPr>
          <w:rFonts w:ascii="Times New Roman" w:hAnsi="Times New Roman"/>
          <w:b w:val="1"/>
          <w:sz w:val="22"/>
        </w:rPr>
        <w:t>ФЗ «О персональных данных» от 27.07.2006 № 152-ФЗ</w:t>
      </w:r>
      <w:r>
        <w:rPr>
          <w:rFonts w:ascii="Times New Roman" w:hAnsi="Times New Roman"/>
          <w:sz w:val="22"/>
        </w:rPr>
        <w:t>)</w:t>
      </w:r>
      <w:r>
        <w:rPr>
          <w:sz w:val="22"/>
        </w:rPr>
        <w:t>, либо они оформлены не надлежащим образом</w:t>
      </w:r>
      <w:r>
        <w:rPr>
          <w:sz w:val="22"/>
        </w:rPr>
        <w:t>.</w:t>
      </w:r>
    </w:p>
    <w:p w14:paraId="72000000">
      <w:pPr>
        <w:spacing w:line="240" w:lineRule="auto"/>
        <w:ind w:firstLine="567" w:left="0"/>
        <w:jc w:val="both"/>
        <w:rPr>
          <w:sz w:val="22"/>
        </w:rPr>
      </w:pPr>
      <w:r>
        <w:rPr>
          <w:sz w:val="22"/>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Нарушение указанного выше требования является основанием для отказа в допуске на участие в торгах.</w:t>
      </w:r>
    </w:p>
    <w:p w14:paraId="73000000">
      <w:pPr>
        <w:spacing w:line="240" w:lineRule="auto"/>
        <w:ind w:firstLine="567" w:left="0"/>
        <w:jc w:val="both"/>
        <w:rPr>
          <w:sz w:val="22"/>
        </w:rPr>
      </w:pPr>
      <w:r>
        <w:rPr>
          <w:sz w:val="22"/>
        </w:rPr>
        <w:t>К аукциону допускаются претенденты, признанные участниками аукциона и зарегистрировавшиеся для участия в нем.</w:t>
      </w:r>
    </w:p>
    <w:p w14:paraId="74000000">
      <w:pPr>
        <w:spacing w:line="240" w:lineRule="auto"/>
        <w:ind w:firstLine="567" w:left="0"/>
        <w:jc w:val="both"/>
        <w:rPr>
          <w:sz w:val="22"/>
        </w:rPr>
      </w:pPr>
      <w:r>
        <w:rPr>
          <w:sz w:val="22"/>
        </w:rPr>
        <w:t xml:space="preserve">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w:t>
      </w:r>
      <w:r>
        <w:rPr>
          <w:sz w:val="22"/>
        </w:rPr>
        <w:t>с даты оформления</w:t>
      </w:r>
      <w:r>
        <w:rPr>
          <w:sz w:val="22"/>
        </w:rPr>
        <w:t xml:space="preserve"> решения протоколом посредством уведомления в личном кабинете на электронной торговой площадке.</w:t>
      </w:r>
    </w:p>
    <w:p w14:paraId="75000000">
      <w:pPr>
        <w:spacing w:line="240" w:lineRule="auto"/>
        <w:ind w:firstLine="567" w:left="0"/>
        <w:jc w:val="both"/>
        <w:rPr>
          <w:sz w:val="22"/>
        </w:rPr>
      </w:pPr>
      <w:r>
        <w:rPr>
          <w:sz w:val="22"/>
        </w:rPr>
        <w:t xml:space="preserve">Заявитель вправе отозвать заявку на участие в торгах, до момента приобретения им статуса участника торгов. Претендент приобретает статус участника торгов с момента оформления комиссией по проведению торгов протокола окончания приема и регистрации заявок. </w:t>
      </w:r>
    </w:p>
    <w:p w14:paraId="76000000">
      <w:pPr>
        <w:spacing w:line="240" w:lineRule="auto"/>
        <w:ind w:firstLine="567" w:left="0"/>
        <w:jc w:val="both"/>
        <w:rPr>
          <w:sz w:val="22"/>
        </w:rPr>
      </w:pPr>
      <w:r>
        <w:rPr>
          <w:sz w:val="22"/>
        </w:rPr>
        <w:t xml:space="preserve">Сведения о наличии обременений содержатся в комплекте документов, переданном по акту приема-передачи в ТУ </w:t>
      </w:r>
      <w:r>
        <w:rPr>
          <w:sz w:val="22"/>
        </w:rPr>
        <w:t>Росимущества</w:t>
      </w:r>
      <w:r>
        <w:rPr>
          <w:sz w:val="22"/>
        </w:rPr>
        <w:t xml:space="preserve"> в Омской области судебным приставом-исполнителем. </w:t>
      </w:r>
      <w:r>
        <w:rPr>
          <w:sz w:val="22"/>
        </w:rPr>
        <w:t>Скан-образы</w:t>
      </w:r>
      <w:r>
        <w:rPr>
          <w:sz w:val="22"/>
        </w:rPr>
        <w:t xml:space="preserve"> документов, характеризующих реализуемое имущество, в том числе документов о наличии обременений, прикрепляются к извещению о проведении торгов на универсальной торговой платформе АО «</w:t>
      </w:r>
      <w:r>
        <w:rPr>
          <w:sz w:val="22"/>
        </w:rPr>
        <w:t>Сбербанк-АСТ</w:t>
      </w:r>
      <w:r>
        <w:rPr>
          <w:sz w:val="22"/>
        </w:rPr>
        <w:t xml:space="preserve">». </w:t>
      </w:r>
    </w:p>
    <w:p w14:paraId="77000000">
      <w:pPr>
        <w:spacing w:line="240" w:lineRule="auto"/>
        <w:ind w:firstLine="567" w:left="0"/>
        <w:jc w:val="both"/>
        <w:rPr>
          <w:sz w:val="22"/>
        </w:rPr>
      </w:pPr>
      <w:r>
        <w:rPr>
          <w:sz w:val="22"/>
        </w:rPr>
        <w:t>В соответствии со ст.158 Жилищного кодекса Российской Федерации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w:t>
      </w:r>
      <w:r>
        <w:rPr>
          <w:sz w:val="22"/>
        </w:rPr>
        <w:t xml:space="preserve"> </w:t>
      </w:r>
      <w:r>
        <w:rPr>
          <w:sz w:val="22"/>
        </w:rPr>
        <w:t>Федерации или муниципальным образованием, являющимися предыдущим собственником помещения в многоквартирном доме.</w:t>
      </w:r>
      <w:r>
        <w:rPr>
          <w:sz w:val="22"/>
        </w:rPr>
        <w:t xml:space="preserve"> Информация о задолженности (либо ее отсутствии) предыдущих собственников помещений (должников по исполнительному производству) по взносам на капитальный ремонт, судебным приставом-исполнителем не предоставляется.</w:t>
      </w:r>
    </w:p>
    <w:p w14:paraId="78000000">
      <w:pPr>
        <w:spacing w:line="240" w:lineRule="auto"/>
        <w:ind w:firstLine="567" w:left="0"/>
        <w:jc w:val="both"/>
        <w:rPr>
          <w:sz w:val="22"/>
        </w:rPr>
      </w:pPr>
      <w:r>
        <w:rPr>
          <w:sz w:val="22"/>
        </w:rPr>
        <w:t>В соответствии с п. 1 ст. 42 ФЗ «О государственной регистрации недвижимости» сделки по отчуждению долей в праве общей собственности на недвижимое имущество, подлежат нотариальному удостоверению. Все расходы, связанные с нотариальным удостоверением сделок, несет Покупатель.</w:t>
      </w:r>
    </w:p>
    <w:p w14:paraId="79000000">
      <w:pPr>
        <w:spacing w:line="240" w:lineRule="auto"/>
        <w:ind w:firstLine="567" w:left="0"/>
        <w:jc w:val="both"/>
        <w:rPr>
          <w:sz w:val="22"/>
        </w:rPr>
      </w:pPr>
      <w:r>
        <w:rPr>
          <w:sz w:val="22"/>
        </w:rPr>
        <w:t>Дополнительную информацию об объектах продажи, а также сведения о зарегистрированных в жилом помещении лицах, в том числе о наличии среди таких лиц несовершеннолетних детей, можно получить в период подачи заявок с 09-30 до 12-30 часов и с 14 до 17 часов (кроме четверга, пятницы, субботы и воскресенья) по телефону: 8 (3812) 24-73-89.</w:t>
      </w:r>
    </w:p>
    <w:p w14:paraId="7A000000">
      <w:pPr>
        <w:spacing w:line="240" w:lineRule="auto"/>
        <w:ind w:firstLine="567" w:left="0"/>
        <w:jc w:val="both"/>
        <w:rPr>
          <w:sz w:val="22"/>
        </w:rPr>
      </w:pPr>
      <w:r>
        <w:rPr>
          <w:sz w:val="22"/>
        </w:rPr>
        <w:t>Письменные обращения в адрес Продавца в отношении объектов продажи и порядка проведения торгов, в т.ч. запросы на разъяснения, направленные на универсальной торговой платформе АО «</w:t>
      </w:r>
      <w:r>
        <w:rPr>
          <w:sz w:val="22"/>
        </w:rPr>
        <w:t>Сбербанк-АСТ</w:t>
      </w:r>
      <w:r>
        <w:rPr>
          <w:sz w:val="22"/>
        </w:rPr>
        <w:t>»,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14:paraId="7B000000">
      <w:pPr>
        <w:spacing w:line="240" w:lineRule="auto"/>
        <w:ind/>
        <w:jc w:val="both"/>
        <w:rPr>
          <w:sz w:val="22"/>
        </w:rPr>
      </w:pPr>
      <w:r>
        <w:rPr>
          <w:sz w:val="22"/>
        </w:rPr>
        <w:t xml:space="preserve">Информация о проведении торгов дублируется на сайте ТУ </w:t>
      </w:r>
      <w:r>
        <w:rPr>
          <w:sz w:val="22"/>
        </w:rPr>
        <w:t>Росимущества</w:t>
      </w:r>
      <w:r>
        <w:rPr>
          <w:sz w:val="22"/>
        </w:rPr>
        <w:t xml:space="preserve"> в Омской области по адресу: </w:t>
      </w:r>
      <w:r>
        <w:rPr>
          <w:b w:val="1"/>
          <w:color w:val="0000FF"/>
          <w:sz w:val="22"/>
          <w:u w:val="single"/>
        </w:rPr>
        <w:fldChar w:fldCharType="begin"/>
      </w:r>
      <w:r>
        <w:rPr>
          <w:b w:val="1"/>
          <w:color w:val="0000FF"/>
          <w:sz w:val="22"/>
          <w:u w:val="single"/>
        </w:rPr>
        <w:instrText>HYPERLINK "http://tu55.rosim.ru"</w:instrText>
      </w:r>
      <w:r>
        <w:rPr>
          <w:b w:val="1"/>
          <w:color w:val="0000FF"/>
          <w:sz w:val="22"/>
          <w:u w:val="single"/>
        </w:rPr>
        <w:fldChar w:fldCharType="separate"/>
      </w:r>
      <w:r>
        <w:rPr>
          <w:b w:val="1"/>
          <w:color w:val="0000FF"/>
          <w:sz w:val="22"/>
          <w:u w:val="single"/>
        </w:rPr>
        <w:t>http://tu55.rosim.ru</w:t>
      </w:r>
      <w:r>
        <w:rPr>
          <w:b w:val="1"/>
          <w:color w:val="0000FF"/>
          <w:sz w:val="22"/>
          <w:u w:val="single"/>
        </w:rPr>
        <w:fldChar w:fldCharType="end"/>
      </w:r>
      <w:r>
        <w:rPr>
          <w:b w:val="1"/>
          <w:sz w:val="22"/>
        </w:rPr>
        <w:t xml:space="preserve">, </w:t>
      </w:r>
      <w:r>
        <w:rPr>
          <w:sz w:val="22"/>
        </w:rPr>
        <w:t xml:space="preserve">а также на </w:t>
      </w:r>
      <w:r>
        <w:rPr>
          <w:sz w:val="22"/>
        </w:rPr>
        <w:t xml:space="preserve">сайте </w:t>
      </w:r>
      <w:r>
        <w:rPr>
          <w:rStyle w:val="Style_4_ch"/>
          <w:b w:val="1"/>
          <w:sz w:val="22"/>
        </w:rPr>
        <w:fldChar w:fldCharType="begin"/>
      </w:r>
      <w:r>
        <w:rPr>
          <w:rStyle w:val="Style_4_ch"/>
          <w:b w:val="1"/>
          <w:sz w:val="22"/>
        </w:rPr>
        <w:instrText>HYPERLINK "https://torgi.gov.ru/new"</w:instrText>
      </w:r>
      <w:r>
        <w:rPr>
          <w:rStyle w:val="Style_4_ch"/>
          <w:b w:val="1"/>
          <w:sz w:val="22"/>
        </w:rPr>
        <w:fldChar w:fldCharType="separate"/>
      </w:r>
      <w:r>
        <w:rPr>
          <w:rStyle w:val="Style_4_ch"/>
          <w:b w:val="1"/>
          <w:sz w:val="22"/>
        </w:rPr>
        <w:t>https</w:t>
      </w:r>
      <w:r>
        <w:rPr>
          <w:rStyle w:val="Style_4_ch"/>
          <w:b w:val="1"/>
          <w:sz w:val="22"/>
        </w:rPr>
        <w:t>://</w:t>
      </w:r>
      <w:r>
        <w:rPr>
          <w:rStyle w:val="Style_4_ch"/>
          <w:b w:val="1"/>
          <w:sz w:val="22"/>
        </w:rPr>
        <w:t>torgi.gov.ru</w:t>
      </w:r>
      <w:r>
        <w:rPr>
          <w:rStyle w:val="Style_4_ch"/>
          <w:b w:val="1"/>
          <w:sz w:val="22"/>
        </w:rPr>
        <w:t>/</w:t>
      </w:r>
      <w:r>
        <w:rPr>
          <w:rStyle w:val="Style_4_ch"/>
          <w:b w:val="1"/>
          <w:sz w:val="22"/>
        </w:rPr>
        <w:t>new</w:t>
      </w:r>
      <w:r>
        <w:rPr>
          <w:rStyle w:val="Style_4_ch"/>
          <w:b w:val="1"/>
          <w:sz w:val="22"/>
        </w:rPr>
        <w:fldChar w:fldCharType="end"/>
      </w:r>
      <w:r>
        <w:t xml:space="preserve">. </w:t>
      </w:r>
    </w:p>
    <w:sectPr>
      <w:pgSz w:h="11906" w:orient="landscape" w:w="16838"/>
      <w:pgMar w:bottom="850" w:footer="708" w:gutter="0" w:header="708" w:left="1134" w:right="962"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360" w:lineRule="auto"/>
      <w:ind w:firstLine="709" w:left="0"/>
    </w:pPr>
    <w:rPr>
      <w:rFonts w:ascii="Times New Roman" w:hAnsi="Times New Roman"/>
      <w:sz w:val="28"/>
    </w:rPr>
  </w:style>
  <w:style w:default="1" w:styleId="Style_2_ch" w:type="character">
    <w:name w:val="Normal"/>
    <w:link w:val="Style_2"/>
    <w:rPr>
      <w:rFonts w:ascii="Times New Roman" w:hAnsi="Times New Roman"/>
      <w:sz w:val="28"/>
    </w:rPr>
  </w:style>
  <w:style w:styleId="Style_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5_ch"/>
    <w:pPr>
      <w:spacing w:afterAutospacing="on" w:beforeAutospacing="on" w:line="240" w:lineRule="auto"/>
      <w:ind w:firstLine="0" w:left="0"/>
    </w:pPr>
    <w:rPr>
      <w:rFonts w:ascii="Tahoma" w:hAnsi="Tahoma"/>
      <w:sz w:val="20"/>
    </w:rPr>
  </w:style>
  <w:style w:styleId="Style_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5"/>
    <w:rPr>
      <w:rFonts w:ascii="Tahoma" w:hAnsi="Tahoma"/>
      <w:sz w:val="20"/>
    </w:rPr>
  </w:style>
  <w:style w:styleId="Style_6" w:type="paragraph">
    <w:name w:val="toc 2"/>
    <w:next w:val="Style_2"/>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Основной шрифт абзаца1"/>
    <w:link w:val="Style_7_ch"/>
  </w:style>
  <w:style w:styleId="Style_7_ch" w:type="character">
    <w:name w:val="Основной шрифт абзаца1"/>
    <w:link w:val="Style_7"/>
  </w:style>
  <w:style w:styleId="Style_3" w:type="paragraph">
    <w:name w:val="Обычный1"/>
    <w:link w:val="Style_3_ch"/>
    <w:rPr>
      <w:rFonts w:ascii="Times New Roman" w:hAnsi="Times New Roman"/>
      <w:sz w:val="28"/>
    </w:rPr>
  </w:style>
  <w:style w:styleId="Style_3_ch" w:type="character">
    <w:name w:val="Обычный1"/>
    <w:link w:val="Style_3"/>
    <w:rPr>
      <w:rFonts w:ascii="Times New Roman" w:hAnsi="Times New Roman"/>
      <w:sz w:val="28"/>
    </w:rPr>
  </w:style>
  <w:style w:styleId="Style_8" w:type="paragraph">
    <w:name w:val="toc 4"/>
    <w:next w:val="Style_2"/>
    <w:link w:val="Style_8_ch"/>
    <w:uiPriority w:val="39"/>
    <w:pPr>
      <w:ind w:firstLine="0" w:left="600"/>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2"/>
    <w:link w:val="Style_9_ch"/>
    <w:uiPriority w:val="39"/>
    <w:pPr>
      <w:ind w:firstLine="0" w:left="1000"/>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ind w:firstLine="0" w:left="1200"/>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rPr>
  </w:style>
  <w:style w:styleId="Style_11_ch" w:type="character">
    <w:name w:val="Endnote"/>
    <w:link w:val="Style_11"/>
    <w:rPr>
      <w:rFonts w:ascii="XO Thames" w:hAnsi="XO Thames"/>
    </w:rPr>
  </w:style>
  <w:style w:styleId="Style_12" w:type="paragraph">
    <w:name w:val="heading 3"/>
    <w:next w:val="Style_2"/>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Default Paragraph Font"/>
    <w:link w:val="Style_13_ch"/>
  </w:style>
  <w:style w:styleId="Style_13_ch" w:type="character">
    <w:name w:val="Default Paragraph Font"/>
    <w:link w:val="Style_13"/>
  </w:style>
  <w:style w:styleId="Style_14"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4_ch"/>
    <w:pPr>
      <w:spacing w:afterAutospacing="on" w:beforeAutospacing="on" w:line="240" w:lineRule="auto"/>
      <w:ind w:firstLine="0" w:left="0"/>
    </w:pPr>
    <w:rPr>
      <w:rFonts w:ascii="Tahoma" w:hAnsi="Tahoma"/>
      <w:sz w:val="20"/>
    </w:rPr>
  </w:style>
  <w:style w:styleId="Style_14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4"/>
    <w:rPr>
      <w:rFonts w:ascii="Tahoma" w:hAnsi="Tahoma"/>
      <w:sz w:val="20"/>
    </w:rPr>
  </w:style>
  <w:style w:styleId="Style_1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5_ch"/>
    <w:pPr>
      <w:spacing w:afterAutospacing="on" w:beforeAutospacing="on" w:line="240" w:lineRule="auto"/>
      <w:ind w:firstLine="0" w:left="0"/>
    </w:pPr>
    <w:rPr>
      <w:rFonts w:ascii="Tahoma" w:hAnsi="Tahoma"/>
      <w:sz w:val="20"/>
    </w:rPr>
  </w:style>
  <w:style w:styleId="Style_1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5"/>
    <w:rPr>
      <w:rFonts w:ascii="Tahoma" w:hAnsi="Tahoma"/>
      <w:sz w:val="20"/>
    </w:rPr>
  </w:style>
  <w:style w:styleId="Style_16" w:type="paragraph">
    <w:name w:val="Balloon Text"/>
    <w:basedOn w:val="Style_2"/>
    <w:link w:val="Style_16_ch"/>
    <w:pPr>
      <w:spacing w:line="240" w:lineRule="auto"/>
      <w:ind/>
    </w:pPr>
    <w:rPr>
      <w:rFonts w:ascii="Tahoma" w:hAnsi="Tahoma"/>
      <w:sz w:val="16"/>
    </w:rPr>
  </w:style>
  <w:style w:styleId="Style_16_ch" w:type="character">
    <w:name w:val="Balloon Text"/>
    <w:basedOn w:val="Style_2_ch"/>
    <w:link w:val="Style_16"/>
    <w:rPr>
      <w:rFonts w:ascii="Tahoma" w:hAnsi="Tahoma"/>
      <w:sz w:val="16"/>
    </w:rPr>
  </w:style>
  <w:style w:styleId="Style_17" w:type="paragraph">
    <w:name w:val="toc 3"/>
    <w:next w:val="Style_2"/>
    <w:link w:val="Style_17_ch"/>
    <w:uiPriority w:val="39"/>
    <w:pPr>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List Paragraph"/>
    <w:basedOn w:val="Style_2"/>
    <w:link w:val="Style_18_ch"/>
    <w:pPr>
      <w:ind w:firstLine="0" w:left="720"/>
      <w:contextualSpacing w:val="1"/>
    </w:pPr>
  </w:style>
  <w:style w:styleId="Style_18_ch" w:type="character">
    <w:name w:val="List Paragraph"/>
    <w:basedOn w:val="Style_2_ch"/>
    <w:link w:val="Style_18"/>
  </w:style>
  <w:style w:styleId="Style_19" w:type="paragraph">
    <w:name w:val="heading 5"/>
    <w:next w:val="Style_2"/>
    <w:link w:val="Style_19_ch"/>
    <w:uiPriority w:val="9"/>
    <w:qFormat/>
    <w:pPr>
      <w:spacing w:after="120" w:before="120"/>
      <w:ind/>
      <w:jc w:val="both"/>
      <w:outlineLvl w:val="4"/>
    </w:pPr>
    <w:rPr>
      <w:rFonts w:ascii="XO Thames" w:hAnsi="XO Thames"/>
      <w:b w:val="1"/>
    </w:rPr>
  </w:style>
  <w:style w:styleId="Style_19_ch" w:type="character">
    <w:name w:val="heading 5"/>
    <w:link w:val="Style_19"/>
    <w:rPr>
      <w:rFonts w:ascii="XO Thames" w:hAnsi="XO Thames"/>
      <w:b w:val="1"/>
    </w:rPr>
  </w:style>
  <w:style w:styleId="Style_20" w:type="paragraph">
    <w:name w:val="heading 1"/>
    <w:next w:val="Style_2"/>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rPr>
  </w:style>
  <w:style w:styleId="Style_22_ch" w:type="character">
    <w:name w:val="Footnote"/>
    <w:link w:val="Style_22"/>
    <w:rPr>
      <w:rFonts w:ascii="XO Thames" w:hAnsi="XO Thames"/>
    </w:rPr>
  </w:style>
  <w:style w:styleId="Style_23" w:type="paragraph">
    <w:name w:val="toc 1"/>
    <w:next w:val="Style_2"/>
    <w:link w:val="Style_23_ch"/>
    <w:uiPriority w:val="39"/>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4" w:type="paragraph">
    <w:name w:val="Гиперссылка1"/>
    <w:link w:val="Style_4_ch"/>
    <w:rPr>
      <w:color w:val="0000FF"/>
      <w:u w:val="single"/>
    </w:rPr>
  </w:style>
  <w:style w:styleId="Style_4_ch" w:type="character">
    <w:name w:val="Гиперссылка1"/>
    <w:link w:val="Style_4"/>
    <w:rPr>
      <w:color w:val="0000FF"/>
      <w:u w:val="single"/>
    </w:rPr>
  </w:style>
  <w:style w:styleId="Style_25" w:type="paragraph">
    <w:name w:val="toc 9"/>
    <w:next w:val="Style_2"/>
    <w:link w:val="Style_25_ch"/>
    <w:uiPriority w:val="39"/>
    <w:pPr>
      <w:ind w:firstLine="0" w:left="1600"/>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2"/>
    <w:link w:val="Style_26_ch"/>
    <w:uiPriority w:val="39"/>
    <w:pPr>
      <w:ind w:firstLine="0" w:left="1400"/>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2"/>
    <w:link w:val="Style_27_ch"/>
    <w:uiPriority w:val="39"/>
    <w:pPr>
      <w:ind w:firstLine="0" w:left="800"/>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2"/>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2"/>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2026-01-14T03:53:07Z</dcterms:modified>
</cp:coreProperties>
</file>