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</w:rPr>
        <w:t xml:space="preserve">Извещение</w:t>
      </w:r>
      <w:r>
        <w:rPr>
          <w:rFonts w:ascii="Times New Roman" w:hAnsi="Times New Roman"/>
          <w:b/>
          <w:bCs/>
          <w:highlight w:val="none"/>
        </w:rPr>
      </w:r>
      <w:r>
        <w:rPr>
          <w:rFonts w:ascii="Times New Roman" w:hAnsi="Times New Roman"/>
          <w:b/>
          <w:bCs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</w:t>
      </w:r>
      <w:r>
        <w:rPr>
          <w:rFonts w:ascii="Times New Roman" w:hAnsi="Times New Roman"/>
          <w:b/>
        </w:rPr>
        <w:t xml:space="preserve"> проведении</w:t>
      </w:r>
      <w:r>
        <w:rPr>
          <w:rFonts w:ascii="Times New Roman" w:hAnsi="Times New Roman"/>
          <w:b/>
        </w:rPr>
        <w:t xml:space="preserve"> открытого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аукциона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 электронной форме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 xml:space="preserve">продаже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арестованного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885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18"/>
        <w:gridCol w:w="1558"/>
        <w:gridCol w:w="425"/>
        <w:gridCol w:w="2310"/>
        <w:gridCol w:w="1276"/>
        <w:gridCol w:w="1276"/>
        <w:gridCol w:w="1134"/>
        <w:gridCol w:w="1134"/>
        <w:gridCol w:w="1417"/>
      </w:tblGrid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</w:rPr>
              <w:t xml:space="preserve">п</w:t>
            </w:r>
            <w:r>
              <w:rPr>
                <w:rFonts w:ascii="Times New Roman" w:hAnsi="Times New Roman"/>
                <w:b/>
                <w:sz w:val="20"/>
              </w:rPr>
              <w:t xml:space="preserve">/п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Содержание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Наименование, адрес продавца, контактная информация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Межрегиональное территориальное управление Федерального агентства по управлению государственным имуществом в Курской и Белгородской областях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(организатор торгов – Продавец, ОГРН – 1093123008241)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</w:rPr>
              <w:t xml:space="preserve">305004, г. Курск, ул. </w:t>
            </w:r>
            <w:r>
              <w:rPr>
                <w:rFonts w:ascii="Times New Roman" w:hAnsi="Times New Roman"/>
                <w:sz w:val="20"/>
              </w:rPr>
              <w:t xml:space="preserve">Садовая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 xml:space="preserve">12, 7-й этаж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Электронная почта: </w:t>
            </w:r>
            <w:r>
              <w:rPr>
                <w:rFonts w:ascii="Times New Roman" w:hAnsi="Times New Roman"/>
                <w:sz w:val="20"/>
              </w:rPr>
              <w:t xml:space="preserve">i.vusatyuk@rosim.</w:t>
            </w:r>
            <w:r>
              <w:rPr>
                <w:rFonts w:ascii="Times New Roman" w:hAnsi="Times New Roman"/>
                <w:sz w:val="20"/>
              </w:rPr>
              <w:t xml:space="preserve">gov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  <w:t xml:space="preserve">ru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Контактное лицо: </w:t>
            </w:r>
            <w:r>
              <w:rPr>
                <w:rFonts w:ascii="Times New Roman" w:hAnsi="Times New Roman"/>
                <w:sz w:val="20"/>
              </w:rPr>
              <w:t xml:space="preserve">Вусатюк</w:t>
            </w:r>
            <w:r>
              <w:rPr>
                <w:rFonts w:ascii="Times New Roman" w:hAnsi="Times New Roman"/>
                <w:sz w:val="20"/>
              </w:rPr>
              <w:t xml:space="preserve"> Ирина Вячеславовна</w:t>
            </w:r>
            <w:r>
              <w:rPr>
                <w:rFonts w:ascii="Times New Roman" w:hAnsi="Times New Roman"/>
                <w:sz w:val="20"/>
              </w:rPr>
              <w:t xml:space="preserve">   8(47</w:t>
            </w: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 xml:space="preserve">70-36-30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Форма торгов и место их проведения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Аукцион по продаже арестованного имущества, открытый по составу участников и открытый по форме подачи предложений </w:t>
            </w:r>
            <w:r>
              <w:rPr>
                <w:rFonts w:ascii="Times New Roman" w:hAnsi="Times New Roman"/>
                <w:sz w:val="20"/>
              </w:rPr>
              <w:t xml:space="preserve"> о цене, проводимый в электронной форме на электронной торговой площадке, находящейся в сети «Интернет» по адресу  https://www.rts-tender.ru/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оператора электронной площадки, сети интернет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ООО «РТС - тендер»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https://www.rts-tender.ru/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Информация о торгах размещена на сайте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"http://www.torgi.gov.ru"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www.torgi.gov.ru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"http://www.tu31.rosim.ru"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www.</w:t>
            </w:r>
            <w:r>
              <w:rPr>
                <w:rStyle w:val="850"/>
                <w:rFonts w:ascii="Times New Roman" w:hAnsi="Times New Roman"/>
                <w:sz w:val="20"/>
              </w:rPr>
              <w:t xml:space="preserve">tu</w:t>
            </w:r>
            <w:r>
              <w:rPr>
                <w:rStyle w:val="850"/>
                <w:rFonts w:ascii="Times New Roman" w:hAnsi="Times New Roman"/>
                <w:sz w:val="20"/>
              </w:rPr>
              <w:t xml:space="preserve">31.</w:t>
            </w:r>
            <w:r>
              <w:rPr>
                <w:rStyle w:val="850"/>
                <w:rFonts w:ascii="Times New Roman" w:hAnsi="Times New Roman"/>
                <w:sz w:val="20"/>
              </w:rPr>
              <w:t xml:space="preserve">rosim</w:t>
            </w:r>
            <w:r>
              <w:rPr>
                <w:rStyle w:val="850"/>
                <w:rFonts w:ascii="Times New Roman" w:hAnsi="Times New Roman"/>
                <w:sz w:val="20"/>
              </w:rPr>
              <w:t xml:space="preserve">.</w:t>
            </w:r>
            <w:r>
              <w:rPr>
                <w:rStyle w:val="850"/>
                <w:rFonts w:ascii="Times New Roman" w:hAnsi="Times New Roman"/>
                <w:sz w:val="20"/>
              </w:rPr>
              <w:t xml:space="preserve">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  <w:t xml:space="preserve">,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а также в Официальном бюллетене «Государственное имущество»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952"/>
        </w:trPr>
        <w:tc>
          <w:tcPr>
            <w:tcW w:w="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Предмет аукциона, начальная (минимальная) цена лота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№лота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Наименование, состав, краткая характеристика и описание имущества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 места расположения имущества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Начальная цена (руб.)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задатка (руб.)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Шаг аукциона (руб.)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Контактная информация для осмотра имущества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ind w:left="-108" w:right="-108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ПЕРВИЧ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НЫЕ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ТОРГИ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егковой автомобиль Ford Focus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 года выпуска, цвет – серебристый,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государственный номер 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811СМ46,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идентификационный номер (VIN) X9FHXXEEDH8A50973, номер куз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ова (прицепа) X9FHXXEEDH8A50973,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номер двигателя 8A50973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(имущество обременено: арест, запрет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на 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ершение регистрационных дейс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твий,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залог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зыскате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ль)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ООО МКК «Центрофинанс Групп»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Должник – Титенко М.А.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Основание проведения аукциона: исполнительный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лист Ленинского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районного суда г. Курска серия ФС № 042620992 от 12.05.2025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г. Курск, ул. Хуторская,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д. 12Г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321 500,00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48 500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 xml:space="preserve">ОСП по Центральному округу г. Курска УФССП России по Курской области Судебный пристав-исполнитель Савельева Екатерина Сергеевна</w:t>
            </w:r>
            <w:r>
              <w:rPr>
                <w:rFonts w:ascii="Times New Roman" w:hAnsi="Times New Roman"/>
                <w:sz w:val="18"/>
                <w:highlight w:val="none"/>
              </w:rPr>
              <w:t xml:space="preserve">. </w:t>
            </w:r>
            <w:r>
              <w:rPr>
                <w:rFonts w:ascii="Times New Roman" w:hAnsi="Times New Roman"/>
                <w:sz w:val="18"/>
                <w:highlight w:val="none"/>
              </w:rPr>
              <w:t xml:space="preserve">Телефон центра информирования граждан: +7(4712)36-07-71</w:t>
            </w:r>
            <w:r>
              <w:rPr>
                <w:rFonts w:ascii="Times New Roman" w:hAnsi="Times New Roman"/>
                <w:sz w:val="18"/>
                <w:highlight w:val="none"/>
              </w:rPr>
            </w:r>
            <w:r>
              <w:rPr>
                <w:rFonts w:ascii="Times New Roman" w:hAnsi="Times New Roman"/>
                <w:sz w:val="18"/>
                <w:highlight w:val="none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Легк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овой автомобиль Lada 219170 Lada Granta, 2015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а выпуска,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цвет – серо-синий,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государс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твенный номер H984TO46, идентифика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ционный номер (VIN)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XTA219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170FY139083, номер кузова (прицепа) XTA219170FY139083,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номер двигателя 3381815, повреждено левое переднее крыло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имущество обременено: арест, запрет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на 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ершение регистрационных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дейс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твий,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залог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зыскате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ль)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ПАО «Совкомбанк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олжник – Каменев М.А.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Осно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вание проведения аукциона: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исполнительный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лист Ленинского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районного суда г. Курска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№46RS0030#2-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1713/2025#1 от 05.05.2025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г. Курск, ул. Орловская, д. 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442 800,00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66 500,00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 xml:space="preserve">ОСП по Центральному округу г. Курска УФССП России по Курской области Судебный пристав-исполнитель Савельева Екатерина Сергеевна</w:t>
            </w:r>
            <w:r>
              <w:rPr>
                <w:rFonts w:ascii="Times New Roman" w:hAnsi="Times New Roman"/>
                <w:sz w:val="18"/>
                <w:highlight w:val="none"/>
              </w:rPr>
              <w:t xml:space="preserve">. </w:t>
            </w:r>
            <w:r>
              <w:rPr>
                <w:rFonts w:ascii="Times New Roman" w:hAnsi="Times New Roman"/>
                <w:sz w:val="18"/>
                <w:highlight w:val="none"/>
              </w:rPr>
              <w:t xml:space="preserve">Телефон центра информирования граждан: +7(4712)36-07-71</w:t>
            </w:r>
            <w:r>
              <w:rPr>
                <w:rFonts w:ascii="Times New Roman" w:hAnsi="Times New Roman"/>
                <w:sz w:val="18"/>
                <w:highlight w:val="none"/>
              </w:rPr>
            </w:r>
            <w:r>
              <w:rPr>
                <w:rFonts w:ascii="Times New Roman" w:hAnsi="Times New Roman"/>
                <w:sz w:val="18"/>
                <w:highlight w:val="none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Легковой автомобиль Daewoo Nexia, 2011 года выпуска, цвет – сине-глазуристый, государственный номер Н614ЕО46, идентификационный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номер (VIN)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XWB3L32EDBA279128, номер кузова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(прицепа) XWB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3L32EDBA279128,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номер двигателя 6193761, состояние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транспортного средства: имеются следы 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ррозии, трещина на лобовом стекле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имущество обременено: арест, запрет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овершение регистрационных действий,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залог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(в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зыскатель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)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ООО МФК «КарМани»)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Дол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жник – Ломая Н.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Основание проведения аукциона: исполнительный лист Медвенского районного суда Курской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серия ФС № 042621862 от 19.01.2023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г. Курск, ул. Первомайская, д. 139А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108 750,00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16 500,00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5 000,00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ОСП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Обоянскому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Медвенскому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Пристенскому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районам УФССП России по Курской области Судебный пристав-исполнитель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Зуборев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Телефон центра информирования граждан: +7(4712)36-07-71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байн зерноуборочный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самох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одный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КЗС-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1218-29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021 года выпуска,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цвет - красный,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заводск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ой номер 1771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8, государственный номер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1415КС46,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номе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р двигателя L0679724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имущество обременено: арест, запрет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вершение регистрационных действий,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залог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зыск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атель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)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ООО МКК «Агроинтегратор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Дол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жник – ООО «Завет Ильича».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Основание проведения ау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кциона: исполнительный лист Арбит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ражного суда г. Москвы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серия ФС № 049937327 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Курская область, Щигровский район, сл. Пригородняя, ул. Комарова, д. 87Б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7 984 900,00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в т.ч. НДС 22%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1 439 900,00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1 198 000,00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359 500,00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ОСП по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Щигровскому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Черемисиновскому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 районам УФССП России по Курской области 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удебный пристав-исполнитель Семенов Игорь Владимирович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 xml:space="preserve">Телефон центра информирования граждан: +7(4712)36-07-71</w:t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highlight w:val="none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W w:w="8972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ВТОРИЧ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НЫЕ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ТОРГИ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Транспортное средство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Sitrak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С7Н,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2023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года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выпус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ка,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 цвет - синий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государственный 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мер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315ВУ46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, 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нтификационный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номер (VIN)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LZZ7CMXD9PC520809,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номер шасси (рамы)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LZZ7C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MXD9PC520809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номер двигателя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230817022537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транспортное средство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не на ходу,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неисправна коробка передач и двигатель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щество обременено: аре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ст, запрет на совершение рег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рационных действий).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Взыскат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ель (залог) –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ПАО Сбербанк в лице ф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илиала - Курское отделение №8596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Должн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ик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ООО «Йенгора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Основание проведения аукциона: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исполнительный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лист Медве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нского районного суда Курской области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№46RS0015#2-155/2025#5 от 22.09.2025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г. Курск, 2-й Моковский проезд, д. 7Б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8 368 590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в т.ч. НДС 22%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1 509 090,00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1 255 500,00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376 500,00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СОСП по Курской области ГМУ ФССП России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судебный пристав-исполнитель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Дремова Ольга Вячеславовна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 xml:space="preserve">Телефон: +7(4712)</w:t>
            </w:r>
            <w:r>
              <w:rPr>
                <w:rFonts w:ascii="Times New Roman" w:hAnsi="Times New Roman"/>
                <w:sz w:val="18"/>
                <w:highlight w:val="none"/>
              </w:rPr>
              <w:t xml:space="preserve">58-42-74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Chevro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let Aveo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2007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года выпуска,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цвет – серебри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стый,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государственный ном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ер О343УМ46,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идентификационный ном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ер (VIN) KL1SF697J8B015505,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номер 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узова (прицепа)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KL1SF697J8B015505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СТС, ПТС, ключи отсутствуют, сколы и царапины по всему кузову, есть повреждения кузова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муществ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 обременено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запрет на совершение рег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рационных действий,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залог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взы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ска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ель) ООО МФК «КарМани»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жник –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 Скажутина С.Н.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Основание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провед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аукци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она: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ли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Промышленного районного суда г. Курска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№46RS0031#2-109/2025#2 от 16.04.2025; решение именем РФ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  <w:t xml:space="preserve">Промышленного районного суда г. Курска от 26.02.2025 №2-109/15-2025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г. Москва, ул. Донецкая, д. 40, стр. 15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219 456,40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 w:firstLine="0"/>
              <w:jc w:val="center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t xml:space="preserve">ОСП по Сеймскому округу г. Курска УФССП России по Курской области, судебный пристав-исполнитель Балышева Анастасия Александровна. Телефон центра информирования граждан: +7(4712)36-07-71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741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и время начала подачи заявок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15.01.2026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с 10-00 часов (по московскому времени) ООО «РТС - тендер»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https://www.rts-tender.ru/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blPrEx/>
        <w:trPr>
          <w:trHeight w:val="84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и время окончания подачи заявок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13.02.2026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23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-59 часов (по московскому времени) ООО «РТС - тендер»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https://www.rts-tender.ru/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подведения итогов приема заявок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16.02.2026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14-00 часов (по московскому времени) ООО «РТС - тендер»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https://www.rts-tender.ru/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blPrEx/>
        <w:trPr>
          <w:trHeight w:val="628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аукциона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17.02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.2026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10-00 часов (по московскому времени) ООО «РТС - тендер»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https://www.rts-tender.ru/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blPrEx/>
        <w:trPr>
          <w:trHeight w:val="68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внесения задатка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Задаток необходимо перечислить в срок не позднее последнего дня приема заявок, а именно 13.02.2026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до 23-59 часов (по московскому времени)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Порядок внесения задатка для участия в аукционе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Порядок и срок внесения задатка 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для участия в аукционе в электронной форме установлен в соответствии с Соглашени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ем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 о гарантийном обеспечении на электронной площадке «РТС-тендер» 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hyperlink r:id="rId9" w:tooltip="https://www.rts-tender.ru/platform-rules/platform-property-sales" w:history="1">
              <w:r>
                <w:rPr>
                  <w:rStyle w:val="850"/>
                  <w:rFonts w:ascii="Times New Roman" w:hAnsi="Times New Roman"/>
                  <w:sz w:val="20"/>
                  <w:highlight w:val="none"/>
                </w:rPr>
                <w:t xml:space="preserve">https://www.rts-tender.ru/platform-rules/platform-property-sales</w:t>
              </w:r>
            </w:hyperlink>
            <w:r>
              <w:rPr>
                <w:rFonts w:ascii="Times New Roman" w:hAnsi="Times New Roman"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Порядок оформления участия в торгах. Место и порядок подачи заявки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соответствии со статьей 449.1 Гражданского кодекса Российской Федерации в публичных торгах </w:t>
            </w:r>
            <w:r>
              <w:rPr>
                <w:rFonts w:ascii="Times New Roman" w:hAnsi="Times New Roman"/>
                <w:sz w:val="20"/>
              </w:rPr>
              <w:t xml:space="preserve">не могут участвовать должник, организации, на которые возложены оценка и реализация имущест</w:t>
            </w:r>
            <w:r>
              <w:rPr>
                <w:rFonts w:ascii="Times New Roman" w:hAnsi="Times New Roman"/>
                <w:sz w:val="20"/>
              </w:rPr>
              <w:t xml:space="preserve">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 торгам допускаются любые лица, за исключением вышеуказанных, зарегистрированные на электронной торговой площадке ООО «РТС-тендер», находящейся в информационно </w:t>
            </w:r>
            <w:r>
              <w:rPr>
                <w:rFonts w:ascii="Times New Roman" w:hAnsi="Times New Roman"/>
                <w:sz w:val="20"/>
              </w:rPr>
              <w:t xml:space="preserve">-т</w:t>
            </w:r>
            <w:r>
              <w:rPr>
                <w:rFonts w:ascii="Times New Roman" w:hAnsi="Times New Roman"/>
                <w:sz w:val="20"/>
              </w:rPr>
              <w:t xml:space="preserve">елекоммуникационной сети «Интернет» по адресу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"https://www.rts-tender.ru/"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https://www.rts-tender.ru/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, предоставившие заявки на участие в торгах с помощью электронного документооборота на электронной торговой площадке, подписанные электронной цифровой подписью с необходимым комплектом документов ( электронные скан-копии с подлинника документа)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Требования к заявке и прилагаемым к ней документам.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Заявка подается путем заполнения ее электронной формы, размещенной в открытой части электронной</w:t>
            </w:r>
            <w:r>
              <w:rPr>
                <w:rFonts w:ascii="Times New Roman" w:hAnsi="Times New Roman"/>
                <w:sz w:val="20"/>
              </w:rPr>
              <w:t xml:space="preserve"> торговой</w:t>
            </w:r>
            <w:r>
              <w:rPr>
                <w:rFonts w:ascii="Times New Roman" w:hAnsi="Times New Roman"/>
                <w:sz w:val="20"/>
              </w:rPr>
              <w:t xml:space="preserve"> площадки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Одно лицо имеет право подать  только одну заявку.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 участию в торгах допускаются юридические и физические лица, желающие приобрести выставляемое на торги имущество, представившие в оговоренные в извещении о проведении торгов сроки, оформленные надлежащим образом, следующие документы: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а) заявка на участие в торгах, по форме установленной Продавцом, в одном экземпляре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б) доверенность на лицо, имеющее право действовать от имени Заявителя, если заявка подается представителем Заявителя, оформленную в соответствии с требованиями гражданского законодательства или нотариально заверенную копию такой доверенности.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</w:t>
            </w:r>
            <w:r>
              <w:rPr>
                <w:rFonts w:ascii="Times New Roman" w:hAnsi="Times New Roman"/>
                <w:sz w:val="20"/>
              </w:rPr>
              <w:t xml:space="preserve">) физические лица (Заявитель, представитель Заявителя) представляют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скан-</w:t>
            </w:r>
            <w:r>
              <w:rPr>
                <w:rFonts w:ascii="Times New Roman" w:hAnsi="Times New Roman"/>
                <w:sz w:val="20"/>
              </w:rPr>
              <w:t xml:space="preserve">копии</w:t>
            </w:r>
            <w:r>
              <w:rPr>
                <w:rFonts w:ascii="Times New Roman" w:hAnsi="Times New Roman"/>
                <w:sz w:val="20"/>
              </w:rPr>
              <w:t xml:space="preserve"> всех листов документа, удостоверяющего личность Заявителя, а также представителя Заявителя в случае подачи документов от имени Заявителя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г</w:t>
            </w:r>
            <w:r>
              <w:rPr>
                <w:rFonts w:ascii="Times New Roman" w:hAnsi="Times New Roman"/>
                <w:sz w:val="20"/>
              </w:rPr>
              <w:t xml:space="preserve">) физические лица (Заявитель, представитель Заявителя) также представляют</w:t>
            </w:r>
            <w:r>
              <w:rPr>
                <w:rFonts w:ascii="Times New Roman" w:hAnsi="Times New Roman"/>
                <w:sz w:val="20"/>
              </w:rPr>
              <w:t xml:space="preserve"> скан-</w:t>
            </w:r>
            <w:r>
              <w:rPr>
                <w:rFonts w:ascii="Times New Roman" w:hAnsi="Times New Roman"/>
                <w:sz w:val="20"/>
              </w:rPr>
              <w:t xml:space="preserve">копию свидетельства о присвоении ИНН (в случае отсутствия, информационное письмо о</w:t>
            </w:r>
            <w:r>
              <w:rPr>
                <w:rFonts w:ascii="Times New Roman" w:hAnsi="Times New Roman"/>
                <w:sz w:val="20"/>
              </w:rPr>
              <w:t xml:space="preserve">б отсутствии свидетельства ИНН);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д) согласие на обработку персональных данных для участия в аукционе;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Юридические лица дополнительно представляют: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е) надлежащим образом заверенные копии учредительных документов и изменений к учредительным документам Заявителя – юридического лица;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ж) нотариально заверенные копии свидетельств о государственной регистрации юридического лица;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з) копию бухгалтерской отчетности на последнюю отчетную дату;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и) оригинал выписки из Единого государственного реестра юридических лиц;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к) надлежащим образом оформленные и заверенные документы, подтверждающие полномочия органов управления и должностных лиц Заявителя;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л) надлежащим образом оформленное письменное решение уполномоченного органа управления Заявителя о приобретен</w:t>
            </w:r>
            <w:r>
              <w:rPr>
                <w:rFonts w:ascii="Times New Roman" w:hAnsi="Times New Roman"/>
                <w:sz w:val="20"/>
              </w:rPr>
              <w:t xml:space="preserve">ии имущества, выставленного на торги, в случае, если это предусмотрено учредительными документами Заявителя и законодательством государства, в котором зарегистрирован Заявитель или его копия, заверенная Заявителем, с проставлением печати юридического лица;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м) надлежащим образом оформленное письменное решение уполномоченного органа управления Заявителя об одобрении или о совершении крупной сделки или его копия, заверенная Заявителем, с проставлением печати юридическ</w:t>
            </w:r>
            <w:r>
              <w:rPr>
                <w:rFonts w:ascii="Times New Roman" w:hAnsi="Times New Roman"/>
                <w:sz w:val="20"/>
              </w:rPr>
              <w:t xml:space="preserve">ого лица в случае, если это предусмотрено учредительными документами Заявителя и законодательством государства, в котором зарегистрирован Заявитель и если для Заявителя данная сделка является крупной сделкой или справка о том, что данная сделка не является</w:t>
            </w:r>
            <w:r>
              <w:rPr>
                <w:rFonts w:ascii="Times New Roman" w:hAnsi="Times New Roman"/>
                <w:sz w:val="20"/>
              </w:rPr>
              <w:t xml:space="preserve"> для Заявителя крупной сделкой.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н) иные документы, необходимые в соответствии с законодательством Российской Федерации.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Указанные сведения (</w:t>
            </w:r>
            <w:r>
              <w:rPr>
                <w:rFonts w:ascii="Times New Roman" w:hAnsi="Times New Roman"/>
                <w:sz w:val="20"/>
              </w:rPr>
              <w:t xml:space="preserve">скан-копий</w:t>
            </w:r>
            <w:r>
              <w:rPr>
                <w:rFonts w:ascii="Times New Roman" w:hAnsi="Times New Roman"/>
                <w:sz w:val="20"/>
              </w:rPr>
              <w:t xml:space="preserve"> с подлинника документа) направляются оператору электронной торговой площадки в виде электронных документов, заверенных электронной цифровой подписью претендента либо лица, имеющего право действовать от имени претендента.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торговую электронную площадку.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27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счетов, на которые должен быть внесен задаток, срок, порядок внесения и возврата задатка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Задаток вносится единым платежом по каждому из лотов отдельно.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Расчетный счет: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40702810512030016362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Корреспондентский счет: 30101810445250000360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БИК: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044525360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ИНН: 7710357167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КПП: 773001001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Наименование банка: ФИЛИАЛ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«Корпоративный»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ПАО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«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СОВКОМБАНК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»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Назначение платежа: Внесение гарантийного обеспечения по Соглашению о внесении гарантийного обеспечения, № аналитического счета ___________, без НДС</w:t>
            </w:r>
            <w:r>
              <w:rPr>
                <w:rFonts w:ascii="Times New Roman" w:hAnsi="Times New Roman"/>
                <w:sz w:val="20"/>
                <w:u w:val="single"/>
              </w:rPr>
            </w:r>
            <w:r>
              <w:rPr>
                <w:rFonts w:ascii="Times New Roman" w:hAnsi="Times New Roman"/>
                <w:sz w:val="20"/>
                <w:u w:val="singl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Лицам, перечислившим задаток для участия  в аукционе, денежные средства возвращаются в следующем порядке: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а) участникам аукциона, за исключением победителя, - в течение 5 рабочих дней со дня подведения итогов аукциона;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б) претендентам, не допущенным к участию в аукционе, - в течение 5 рабочих дней со дня подписания протокола о признании претендентов участниками аукциона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в) е</w:t>
            </w:r>
            <w:r>
              <w:rPr>
                <w:rFonts w:ascii="Times New Roman" w:hAnsi="Times New Roman"/>
                <w:sz w:val="20"/>
              </w:rPr>
              <w:t xml:space="preserve">сли торги не состоялись, задаток подлежит возврату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г) в</w:t>
            </w:r>
            <w:r>
              <w:rPr>
                <w:rFonts w:ascii="Times New Roman" w:hAnsi="Times New Roman"/>
                <w:sz w:val="20"/>
              </w:rPr>
              <w:t xml:space="preserve"> случае если Заявитель не будет допущен к участию в торгах, задат</w:t>
            </w:r>
            <w:r>
              <w:rPr>
                <w:rFonts w:ascii="Times New Roman" w:hAnsi="Times New Roman"/>
                <w:sz w:val="20"/>
              </w:rPr>
              <w:t xml:space="preserve">ок подлежит возврату в</w:t>
            </w:r>
            <w:r>
              <w:rPr>
                <w:rFonts w:ascii="Times New Roman" w:hAnsi="Times New Roman"/>
                <w:sz w:val="20"/>
              </w:rPr>
              <w:t xml:space="preserve"> течени</w:t>
            </w:r>
            <w:r>
              <w:rPr>
                <w:rFonts w:ascii="Times New Roman" w:hAnsi="Times New Roman"/>
                <w:sz w:val="20"/>
              </w:rPr>
              <w:t xml:space="preserve">и</w:t>
            </w:r>
            <w:r>
              <w:rPr>
                <w:rFonts w:ascii="Times New Roman" w:hAnsi="Times New Roman"/>
                <w:sz w:val="20"/>
              </w:rPr>
              <w:t xml:space="preserve"> 5 (пяти) рабочих дней с даты оформления Комиссией по проведению торгов Протокола о признании претендентов участниками аукциона по продаже арестованного имущества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д) в</w:t>
            </w:r>
            <w:r>
              <w:rPr>
                <w:rFonts w:ascii="Times New Roman" w:hAnsi="Times New Roman"/>
                <w:sz w:val="20"/>
              </w:rPr>
              <w:t xml:space="preserve"> случае если Заявитель участвовал в торгах, но не выиграл их,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 </w:t>
            </w:r>
            <w:r>
              <w:rPr>
                <w:rFonts w:ascii="Times New Roman" w:hAnsi="Times New Roman"/>
                <w:sz w:val="20"/>
              </w:rPr>
              <w:t xml:space="preserve">в течение 5 (пяти) рабочих дней со дня подписания Протокола о результатах торгов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е) в </w:t>
            </w:r>
            <w:r>
              <w:rPr>
                <w:rFonts w:ascii="Times New Roman" w:hAnsi="Times New Roman"/>
                <w:sz w:val="20"/>
              </w:rPr>
              <w:t xml:space="preserve">случае отзыва Заявителем заявки на участие в торгах до момента приобретения им статуса участника торгов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</w:t>
            </w:r>
            <w:r>
              <w:rPr>
                <w:rFonts w:ascii="Times New Roman" w:hAnsi="Times New Roman"/>
                <w:sz w:val="20"/>
              </w:rPr>
              <w:t xml:space="preserve"> в течение 10 (десяти) рабочих дней со дня поступления уведомления об отзыве заявки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ж) в</w:t>
            </w:r>
            <w:r>
              <w:rPr>
                <w:rFonts w:ascii="Times New Roman" w:hAnsi="Times New Roman"/>
                <w:sz w:val="20"/>
              </w:rPr>
              <w:t xml:space="preserve"> случае признания торгов </w:t>
            </w:r>
            <w:r>
              <w:rPr>
                <w:rFonts w:ascii="Times New Roman" w:hAnsi="Times New Roman"/>
                <w:sz w:val="20"/>
              </w:rPr>
              <w:t xml:space="preserve">несостоявшимися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 </w:t>
            </w:r>
            <w:r>
              <w:rPr>
                <w:rFonts w:ascii="Times New Roman" w:hAnsi="Times New Roman"/>
                <w:sz w:val="20"/>
              </w:rPr>
              <w:t xml:space="preserve">Заявител</w:t>
            </w:r>
            <w:r>
              <w:rPr>
                <w:rFonts w:ascii="Times New Roman" w:hAnsi="Times New Roman"/>
                <w:sz w:val="20"/>
              </w:rPr>
              <w:t xml:space="preserve">ю</w:t>
            </w:r>
            <w:r>
              <w:rPr>
                <w:rFonts w:ascii="Times New Roman" w:hAnsi="Times New Roman"/>
                <w:sz w:val="20"/>
              </w:rPr>
              <w:t xml:space="preserve"> в течение 5 (пяти) рабочих дней со дня принятия Комиссией по проведению торгов решения об объявлении торгов несостоявшимися</w:t>
            </w:r>
            <w:r>
              <w:rPr>
                <w:rFonts w:ascii="Times New Roman" w:hAnsi="Times New Roman"/>
                <w:sz w:val="20"/>
              </w:rPr>
              <w:t xml:space="preserve">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з) в</w:t>
            </w:r>
            <w:r>
              <w:rPr>
                <w:rFonts w:ascii="Times New Roman" w:hAnsi="Times New Roman"/>
                <w:sz w:val="20"/>
              </w:rPr>
              <w:t xml:space="preserve"> случае отмены торгов по продаже Имущества </w:t>
            </w:r>
            <w:r>
              <w:rPr>
                <w:rFonts w:ascii="Times New Roman" w:hAnsi="Times New Roman"/>
                <w:sz w:val="20"/>
              </w:rPr>
              <w:t xml:space="preserve">задаток подлежит возврату </w:t>
            </w:r>
            <w:r>
              <w:rPr>
                <w:rFonts w:ascii="Times New Roman" w:hAnsi="Times New Roman"/>
                <w:sz w:val="20"/>
              </w:rPr>
              <w:t xml:space="preserve">Заявител</w:t>
            </w:r>
            <w:r>
              <w:rPr>
                <w:rFonts w:ascii="Times New Roman" w:hAnsi="Times New Roman"/>
                <w:sz w:val="20"/>
              </w:rPr>
              <w:t xml:space="preserve">ю</w:t>
            </w:r>
            <w:r>
              <w:rPr>
                <w:rFonts w:ascii="Times New Roman" w:hAnsi="Times New Roman"/>
                <w:sz w:val="20"/>
              </w:rPr>
              <w:t xml:space="preserve"> в течение 5 (пяти) рабочих дней со дня принятия Комиссией по проведению торгов решения об отмене торгов.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Задаток возвращается на банковские реквизиты, указанные Претендентом  в заявке на участие в аукционе.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Внесенный задаток не возвращается в случае, если участник торгов, признанный победителем торгов: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уклони</w:t>
            </w:r>
            <w:r>
              <w:rPr>
                <w:rFonts w:ascii="Times New Roman" w:hAnsi="Times New Roman"/>
                <w:sz w:val="20"/>
              </w:rPr>
              <w:t xml:space="preserve">л</w:t>
            </w:r>
            <w:r>
              <w:rPr>
                <w:rFonts w:ascii="Times New Roman" w:hAnsi="Times New Roman"/>
                <w:sz w:val="20"/>
              </w:rPr>
              <w:t xml:space="preserve">ся или отказался от подписания Протокола о результатах торгов, в установленный срок;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уклони</w:t>
            </w:r>
            <w:r>
              <w:rPr>
                <w:rFonts w:ascii="Times New Roman" w:hAnsi="Times New Roman"/>
                <w:sz w:val="20"/>
              </w:rPr>
              <w:t xml:space="preserve">л</w:t>
            </w:r>
            <w:r>
              <w:rPr>
                <w:rFonts w:ascii="Times New Roman" w:hAnsi="Times New Roman"/>
                <w:sz w:val="20"/>
              </w:rPr>
              <w:t xml:space="preserve">ся от оплаты продаваемого на торгах Имущества в срок, установленный подписанным Протоколом о результатах торгов;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при отказе победителя аукциона от заключения в установленный срок договора купли – продажи имущества.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16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Подведение </w:t>
            </w:r>
            <w:r>
              <w:rPr>
                <w:rFonts w:ascii="Times New Roman" w:hAnsi="Times New Roman"/>
                <w:sz w:val="20"/>
              </w:rPr>
              <w:t xml:space="preserve">итогов приема заявок на участие в аукционе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указанный в настоящем извещении о проведении торгов день подведения итогов приема заявок </w:t>
            </w:r>
            <w:r>
              <w:rPr>
                <w:rFonts w:ascii="Times New Roman" w:hAnsi="Times New Roman"/>
                <w:sz w:val="20"/>
              </w:rPr>
              <w:t xml:space="preserve">Продавец рассматривает заявки и документы.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результатам рассмотрения заявок и документов Продавец принимает решение о признании Заявителей участниками аукциона или об отказе в допуске претендентов к участию в аукционе.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Заявитель не допускается к участию в аукционе по следующим основаниям: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б) 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информационного извещения о проведении торгов;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в) заявка подана лицом, не уполномоченным Претендентом на осуществление таких действий;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г) не подтверждено поступление в установленный срок задатка на счет Продавца.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Претенденты, признанные участниками аукциона, и претенденты, не допущенные к участию в аукционе, уведомляются об этом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Претендент</w:t>
            </w:r>
            <w:r>
              <w:rPr>
                <w:rFonts w:ascii="Times New Roman" w:hAnsi="Times New Roman"/>
                <w:sz w:val="20"/>
              </w:rPr>
              <w:t xml:space="preserve">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      </w:r>
            <w:r>
              <w:rPr>
                <w:rFonts w:ascii="Times New Roman" w:hAnsi="Times New Roman"/>
                <w:sz w:val="20"/>
              </w:rPr>
              <w:t xml:space="preserve">с даты оформления</w:t>
            </w:r>
            <w:r>
              <w:rPr>
                <w:rFonts w:ascii="Times New Roman" w:hAnsi="Times New Roman"/>
                <w:sz w:val="20"/>
              </w:rPr>
              <w:t xml:space="preserve"> решения протоколом путем направления оператором электронной торговой площадки соответствующего уведомления на адрес электронной почты претендента. 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16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Порядок проведения аукциона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pStyle w:val="86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Аукцион проводится на электронной торговой площадке, находящейся в сети «Интернет» по адресу https://www.rts-tender.ru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, в соответствии со ст. 87, 89, 90 ФЗ от 02.10.2007г. №229 –ФЗ  «Об исполнительном производстве», ст. 447-449 ГК РФ, регламентом электронной торговой площадки, размещенным на сайте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"https://www.rts-tender.ru"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https://www.rts-tender.ru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  в подразделе «Документы Электронной площадки «РТС-тендер» для проведения имущественных торгов» раздела «Имущество, иными</w:t>
            </w:r>
            <w:r>
              <w:rPr>
                <w:rFonts w:ascii="Times New Roman" w:hAnsi="Times New Roman"/>
                <w:sz w:val="20"/>
              </w:rPr>
              <w:t xml:space="preserve"> нормативными документами электронной площадки.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86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аукционе могут участвовать только заявители, признанные участниками торгов. 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86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86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Победителем торгов признается лицо, предложившее наиболее высокую цену за предмет торгов.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86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Протокол о результатах торгов подписывается Организатором торгов (Продавцом) и Победителем аукциона в день проведения аукциона.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86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Протокол о результатах торгов размещается на официальном сайте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"https://torgi.gov.ru"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https://torgi.gov.ru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не позднее следующего рабочего дня с момента проведения аукциона.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86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Указанный протокол является основанием для заключения договора купл</w:t>
            </w:r>
            <w:r>
              <w:rPr>
                <w:rFonts w:ascii="Times New Roman" w:hAnsi="Times New Roman"/>
                <w:sz w:val="20"/>
              </w:rPr>
              <w:t xml:space="preserve">и-</w:t>
            </w:r>
            <w:r>
              <w:rPr>
                <w:rFonts w:ascii="Times New Roman" w:hAnsi="Times New Roman"/>
                <w:sz w:val="20"/>
              </w:rPr>
              <w:t xml:space="preserve"> продажи.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63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Проект договора купли-продажи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Проект договора купли-продажи размещен в открытой части электронной торговой площадки, а также на сайтах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"https://torgi.gov.ru"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https://torgi.gov.ru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"http://www.tu31.rosim.ru"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www.tu31.rosim.ru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020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заключения договора купли-продажи, оплата по договору купли-продажи, передача имущества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имущества Победителем торгов производится в порядке и сроки, установленные в протоколе о результатах торгов по продаже арестованного имущества.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Победитель Аукциона обязан в течение 5 (пяти) </w:t>
            </w:r>
            <w:r>
              <w:rPr>
                <w:rFonts w:ascii="Times New Roman" w:hAnsi="Times New Roman"/>
                <w:sz w:val="20"/>
              </w:rPr>
              <w:t xml:space="preserve">рабочих </w:t>
            </w:r>
            <w:r>
              <w:rPr>
                <w:rFonts w:ascii="Times New Roman" w:hAnsi="Times New Roman"/>
                <w:sz w:val="20"/>
              </w:rPr>
              <w:t xml:space="preserve">дней </w:t>
            </w:r>
            <w:r>
              <w:rPr>
                <w:rFonts w:ascii="Times New Roman" w:hAnsi="Times New Roman"/>
                <w:sz w:val="20"/>
              </w:rPr>
              <w:t xml:space="preserve">с даты подписания</w:t>
            </w:r>
            <w:r>
              <w:rPr>
                <w:rFonts w:ascii="Times New Roman" w:hAnsi="Times New Roman"/>
                <w:sz w:val="20"/>
              </w:rPr>
              <w:t xml:space="preserve"> протокола о результатах торгов по продаже арестованного имущества внести денежную сумму, за которую им куплено имущество (покупную цену), за вычетом суммы ранее внесенного задатка.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Денежные средства в счет оплаты имущества подлежат перечислению (единовременно в безналичном порядке) Победителем Аукциона на счет, указанный в протоколе о результатах торгов по продаже арестованного имущества.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 купли-про</w:t>
            </w:r>
            <w:r>
              <w:rPr>
                <w:rFonts w:ascii="Times New Roman" w:hAnsi="Times New Roman"/>
                <w:sz w:val="20"/>
              </w:rPr>
              <w:t xml:space="preserve">дажи имущества по результатам торгов заключается с Победителем Аукциона не ранее чем через 10 (десять) дней со дня подписания протокола о результатах торгов и размещением на сайте в сети «Интернет», на основании которого осуществляется заключение договора.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Имущество передается лицу, выигравшему торги в течение 5 (пяти) рабочих дней с момента заключения Договора купли-продажи имущества, на основании акта приёма-передачи, который составляется и подписывается сторонами в трёх экземплярах.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Покупатель имущества самостоятельно оформляет все документы, необходимые для оформления перехода права собственности. Расходы по оформлению перехода права собственности на имущество несет в полном объеме Покупатель.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Принятое Покупателем имущество возврату не подлежит. Организатор торгов не несёт ответственность за качество проданного имущества.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1752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Признание торгов </w:t>
            </w:r>
            <w:r>
              <w:rPr>
                <w:rFonts w:ascii="Times New Roman" w:hAnsi="Times New Roman"/>
                <w:sz w:val="20"/>
              </w:rPr>
              <w:t xml:space="preserve">несостоявшимися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Организатор торгов объявляет торги несостоявшимися, если: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заявки на участие в торгах подали менее двух лиц;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на торги не явились участники торгов либо явился один участник торгов;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из явившихся участников торгов никто не сделал надбавки к начальной цене имущества;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лицо, выигравшее торги, в течение 5 (пяти) дней со дня проведения торгов не </w:t>
            </w:r>
            <w:r>
              <w:rPr>
                <w:rFonts w:ascii="Times New Roman" w:hAnsi="Times New Roman"/>
                <w:sz w:val="20"/>
              </w:rPr>
              <w:t xml:space="preserve">оплатило стоимость имущества</w:t>
            </w:r>
            <w:r>
              <w:rPr>
                <w:rFonts w:ascii="Times New Roman" w:hAnsi="Times New Roman"/>
                <w:sz w:val="20"/>
              </w:rPr>
              <w:t xml:space="preserve"> в полном объеме.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случае признания торгов </w:t>
            </w:r>
            <w:r>
              <w:rPr>
                <w:rFonts w:ascii="Times New Roman" w:hAnsi="Times New Roman"/>
                <w:sz w:val="20"/>
              </w:rPr>
              <w:t xml:space="preserve">несостоявшимся</w:t>
            </w:r>
            <w:r>
              <w:rPr>
                <w:rFonts w:ascii="Times New Roman" w:hAnsi="Times New Roman"/>
                <w:sz w:val="20"/>
              </w:rPr>
              <w:t xml:space="preserve">, Продавец в тот же день составляет соответствующий протокол.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trHeight w:val="424"/>
        </w:trPr>
        <w:tc>
          <w:tcPr>
            <w:tcW w:w="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Заключительные положения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7"/>
            <w:tcW w:w="897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Организатор торгов (п</w:t>
            </w:r>
            <w:r>
              <w:rPr>
                <w:rFonts w:ascii="Times New Roman" w:hAnsi="Times New Roman"/>
                <w:sz w:val="20"/>
              </w:rPr>
              <w:t xml:space="preserve">родавец</w:t>
            </w:r>
            <w:r>
              <w:rPr>
                <w:rFonts w:ascii="Times New Roman" w:hAnsi="Times New Roman"/>
                <w:sz w:val="20"/>
              </w:rPr>
              <w:t xml:space="preserve">)</w:t>
            </w:r>
            <w:r>
              <w:rPr>
                <w:rFonts w:ascii="Times New Roman" w:hAnsi="Times New Roman"/>
                <w:sz w:val="20"/>
              </w:rPr>
              <w:t xml:space="preserve"> оставляет за собой право снять выставленное имущество с торгов по указанию судебного пристава-исполнителя.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вопросы, касающиеся проведения торгов, но не нашедшие отражения в настоящем извещении о проведении торгов, регулируются в соответствии с законодательством Российской Федерации.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Извещение о проведении торгов по продаже арестованного имущества размещено в информационно-телекоммуникационн</w:t>
            </w:r>
            <w:r>
              <w:rPr>
                <w:rFonts w:ascii="Times New Roman" w:hAnsi="Times New Roman"/>
                <w:sz w:val="20"/>
              </w:rPr>
              <w:t xml:space="preserve">ой сет</w:t>
            </w:r>
            <w:r>
              <w:rPr>
                <w:rFonts w:ascii="Times New Roman" w:hAnsi="Times New Roman"/>
                <w:sz w:val="20"/>
              </w:rPr>
              <w:t xml:space="preserve">и Интернет на сайтах https://torgi.gov.ru, https://tu31.rosim.gov.ru. Получить дополнительную информацию о торгах, о порядке их проведения, ознакомиться с формами документов, документацией, характеризующей предмет торгов, необходимо обращаться по адресу:  </w:t>
            </w:r>
            <w:r>
              <w:rPr>
                <w:rFonts w:ascii="Times New Roman" w:hAnsi="Times New Roman"/>
                <w:sz w:val="20"/>
              </w:rPr>
              <w:t xml:space="preserve">г. Курск, ул. </w:t>
            </w:r>
            <w:r>
              <w:rPr>
                <w:rFonts w:ascii="Times New Roman" w:hAnsi="Times New Roman"/>
                <w:sz w:val="20"/>
              </w:rPr>
              <w:t xml:space="preserve">Садовая</w:t>
            </w:r>
            <w:r>
              <w:rPr>
                <w:rFonts w:ascii="Times New Roman" w:hAnsi="Times New Roman"/>
                <w:sz w:val="20"/>
              </w:rPr>
              <w:t xml:space="preserve">, 12, 7-й этаж, </w:t>
            </w:r>
            <w:r>
              <w:rPr>
                <w:rFonts w:ascii="Times New Roman" w:hAnsi="Times New Roman"/>
                <w:sz w:val="20"/>
              </w:rPr>
              <w:t xml:space="preserve">каб</w:t>
            </w:r>
            <w:r>
              <w:rPr>
                <w:rFonts w:ascii="Times New Roman" w:hAnsi="Times New Roman"/>
                <w:sz w:val="20"/>
              </w:rPr>
              <w:t xml:space="preserve">. 707</w:t>
            </w:r>
            <w:r>
              <w:rPr>
                <w:rFonts w:ascii="Times New Roman" w:hAnsi="Times New Roman"/>
                <w:sz w:val="20"/>
              </w:rPr>
              <w:t xml:space="preserve">, телефон 8 (47</w:t>
            </w: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 xml:space="preserve">70-36-30</w:t>
            </w:r>
            <w:r>
              <w:rPr>
                <w:rFonts w:ascii="Times New Roman" w:hAnsi="Times New Roman"/>
                <w:sz w:val="20"/>
              </w:rPr>
              <w:t xml:space="preserve">. Форма заявки на участие в Аукционе и форма документов доступна на сайт</w:t>
            </w:r>
            <w:r>
              <w:rPr>
                <w:rFonts w:ascii="Times New Roman" w:hAnsi="Times New Roman"/>
                <w:sz w:val="20"/>
              </w:rPr>
              <w:t xml:space="preserve">ах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"http://tu31.rosim.ru"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https://tu31.rosim.gov.ru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850"/>
                <w:rFonts w:ascii="Times New Roman" w:hAnsi="Times New Roman"/>
                <w:sz w:val="20"/>
              </w:rPr>
              <w:instrText xml:space="preserve">HYPERLINK "http://torgi.gov.ru"</w:instrTex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850"/>
                <w:rFonts w:ascii="Times New Roman" w:hAnsi="Times New Roman"/>
                <w:sz w:val="20"/>
              </w:rPr>
              <w:t xml:space="preserve">https://torgi.gov.ru</w:t>
            </w:r>
            <w:r>
              <w:rPr>
                <w:rStyle w:val="850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а также на электронной торговой площадке ООО «РТС - тендер» по адресу  </w:t>
            </w:r>
            <w:hyperlink r:id="rId10" w:tooltip="https://www.rts-tender.ru/" w:history="1">
              <w:r>
                <w:rPr>
                  <w:rStyle w:val="850"/>
                  <w:rFonts w:ascii="Times New Roman" w:hAnsi="Times New Roman"/>
                  <w:sz w:val="20"/>
                </w:rPr>
                <w:t xml:space="preserve">https://www.rts-tender.ru/</w:t>
              </w:r>
              <w:r>
                <w:rPr>
                  <w:rStyle w:val="850"/>
                  <w:rFonts w:ascii="Times New Roman" w:hAnsi="Times New Roman"/>
                  <w:sz w:val="20"/>
                </w:rPr>
              </w:r>
              <w:r>
                <w:rPr>
                  <w:rStyle w:val="850"/>
                  <w:rFonts w:ascii="Times New Roman" w:hAnsi="Times New Roman"/>
                  <w:sz w:val="20"/>
                  <w:szCs w:val="20"/>
                  <w:highlight w:val="none"/>
                </w:rPr>
              </w:r>
            </w:hyperlink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Внимание! </w:t>
            </w:r>
            <w:r>
              <w:rPr>
                <w:rFonts w:ascii="Times New Roman" w:hAnsi="Times New Roman"/>
                <w:sz w:val="20"/>
              </w:rPr>
              <w:t xml:space="preserve">В соответствии с рекомендациями ФСТЭК России для защиты се</w:t>
            </w:r>
            <w:r>
              <w:rPr>
                <w:rFonts w:ascii="Times New Roman" w:hAnsi="Times New Roman"/>
                <w:sz w:val="20"/>
              </w:rPr>
              <w:t xml:space="preserve">рвиса электронной почты Росимущества от внешнего негативного влияния (компьютерные атаки, вредоносные программы и т.д.). приём электронных писем из доменов-отправителей, странами происхождения которых являются США и страны Европейского союза, заблокирован.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Росимущество рекомендует гражданам для приема и отправки электронных почтовых сообщений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государственные органы использовать только почтовые серверы в российских доменах (.</w:t>
            </w:r>
            <w:r>
              <w:rPr>
                <w:rFonts w:ascii="Times New Roman" w:hAnsi="Times New Roman"/>
                <w:sz w:val="20"/>
              </w:rPr>
              <w:t xml:space="preserve">ru</w:t>
            </w:r>
            <w:r>
              <w:rPr>
                <w:rFonts w:ascii="Times New Roman" w:hAnsi="Times New Roman"/>
                <w:sz w:val="20"/>
              </w:rPr>
              <w:t xml:space="preserve">, .</w:t>
            </w:r>
            <w:r>
              <w:rPr>
                <w:rFonts w:ascii="Times New Roman" w:hAnsi="Times New Roman"/>
                <w:sz w:val="20"/>
              </w:rPr>
              <w:t xml:space="preserve">su</w:t>
            </w:r>
            <w:r>
              <w:rPr>
                <w:rFonts w:ascii="Times New Roman" w:hAnsi="Times New Roman"/>
                <w:sz w:val="20"/>
              </w:rPr>
              <w:t xml:space="preserve">) или зарегистрированные в сервисах стран, не попадающих под ограничения.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Подробнее: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https://rosim.gov.ru/press/news/423079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sectPr>
      <w:footnotePr/>
      <w:endnotePr/>
      <w:type w:val="nextPage"/>
      <w:pgSz w:w="11906" w:h="16838" w:orient="portrait"/>
      <w:pgMar w:top="568" w:right="142" w:bottom="851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7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64"/>
    <w:link w:val="848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64"/>
    <w:link w:val="884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64"/>
    <w:link w:val="828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864"/>
    <w:link w:val="882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864"/>
    <w:link w:val="842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14"/>
    <w:next w:val="814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64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14"/>
    <w:next w:val="814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64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14"/>
    <w:next w:val="814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64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14"/>
    <w:next w:val="814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64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64"/>
    <w:link w:val="880"/>
    <w:uiPriority w:val="10"/>
    <w:rPr>
      <w:sz w:val="48"/>
      <w:szCs w:val="48"/>
    </w:rPr>
  </w:style>
  <w:style w:type="character" w:styleId="671">
    <w:name w:val="Subtitle Char"/>
    <w:basedOn w:val="864"/>
    <w:link w:val="874"/>
    <w:uiPriority w:val="11"/>
    <w:rPr>
      <w:sz w:val="24"/>
      <w:szCs w:val="24"/>
    </w:rPr>
  </w:style>
  <w:style w:type="paragraph" w:styleId="672">
    <w:name w:val="Quote"/>
    <w:basedOn w:val="814"/>
    <w:next w:val="814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4"/>
    <w:next w:val="814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64"/>
    <w:link w:val="840"/>
    <w:uiPriority w:val="99"/>
  </w:style>
  <w:style w:type="character" w:styleId="677">
    <w:name w:val="Footer Char"/>
    <w:basedOn w:val="864"/>
    <w:link w:val="860"/>
    <w:uiPriority w:val="99"/>
  </w:style>
  <w:style w:type="paragraph" w:styleId="678">
    <w:name w:val="Caption"/>
    <w:basedOn w:val="814"/>
    <w:next w:val="81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860"/>
    <w:uiPriority w:val="99"/>
  </w:style>
  <w:style w:type="table" w:styleId="680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9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0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1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2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3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4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14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64"/>
    <w:uiPriority w:val="99"/>
    <w:unhideWhenUsed/>
    <w:rPr>
      <w:vertAlign w:val="superscript"/>
    </w:rPr>
  </w:style>
  <w:style w:type="paragraph" w:styleId="808">
    <w:name w:val="endnote text"/>
    <w:basedOn w:val="814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64"/>
    <w:uiPriority w:val="99"/>
    <w:semiHidden/>
    <w:unhideWhenUsed/>
    <w:rPr>
      <w:vertAlign w:val="superscript"/>
    </w:rPr>
  </w:style>
  <w:style w:type="paragraph" w:styleId="811">
    <w:name w:val="TOC Heading"/>
    <w:uiPriority w:val="39"/>
    <w:unhideWhenUsed/>
  </w:style>
  <w:style w:type="paragraph" w:styleId="812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3" w:default="1">
    <w:name w:val="Normal"/>
    <w:link w:val="814"/>
    <w:uiPriority w:val="0"/>
    <w:qFormat/>
  </w:style>
  <w:style w:type="character" w:styleId="814" w:default="1">
    <w:name w:val="Normal"/>
    <w:link w:val="813"/>
  </w:style>
  <w:style w:type="paragraph" w:styleId="815">
    <w:name w:val="toc 2"/>
    <w:next w:val="813"/>
    <w:link w:val="816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16">
    <w:name w:val="toc 2"/>
    <w:link w:val="815"/>
    <w:rPr>
      <w:rFonts w:ascii="XO Thames" w:hAnsi="XO Thames"/>
      <w:sz w:val="28"/>
    </w:rPr>
  </w:style>
  <w:style w:type="paragraph" w:styleId="817">
    <w:name w:val="toc 4"/>
    <w:next w:val="813"/>
    <w:link w:val="818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18">
    <w:name w:val="toc 4"/>
    <w:link w:val="817"/>
    <w:rPr>
      <w:rFonts w:ascii="XO Thames" w:hAnsi="XO Thames"/>
      <w:sz w:val="28"/>
    </w:rPr>
  </w:style>
  <w:style w:type="paragraph" w:styleId="819">
    <w:name w:val="Standard"/>
    <w:link w:val="820"/>
    <w:pPr>
      <w:spacing w:after="0" w:line="240" w:lineRule="auto"/>
      <w:widowControl w:val="off"/>
    </w:pPr>
    <w:rPr>
      <w:rFonts w:ascii="Times New Roman" w:hAnsi="Times New Roman"/>
      <w:sz w:val="24"/>
    </w:rPr>
  </w:style>
  <w:style w:type="character" w:styleId="820">
    <w:name w:val="Standard"/>
    <w:link w:val="819"/>
    <w:rPr>
      <w:rFonts w:ascii="Times New Roman" w:hAnsi="Times New Roman"/>
      <w:sz w:val="24"/>
    </w:rPr>
  </w:style>
  <w:style w:type="paragraph" w:styleId="821">
    <w:name w:val="toc 6"/>
    <w:next w:val="813"/>
    <w:link w:val="822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22">
    <w:name w:val="toc 6"/>
    <w:link w:val="821"/>
    <w:rPr>
      <w:rFonts w:ascii="XO Thames" w:hAnsi="XO Thames"/>
      <w:sz w:val="28"/>
    </w:rPr>
  </w:style>
  <w:style w:type="paragraph" w:styleId="823">
    <w:name w:val="toc 7"/>
    <w:next w:val="813"/>
    <w:link w:val="824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24">
    <w:name w:val="toc 7"/>
    <w:link w:val="823"/>
    <w:rPr>
      <w:rFonts w:ascii="XO Thames" w:hAnsi="XO Thames"/>
      <w:sz w:val="28"/>
    </w:rPr>
  </w:style>
  <w:style w:type="paragraph" w:styleId="825">
    <w:name w:val="Endnote"/>
    <w:link w:val="826"/>
    <w:pPr>
      <w:ind w:left="0" w:firstLine="851"/>
      <w:jc w:val="both"/>
    </w:pPr>
    <w:rPr>
      <w:rFonts w:ascii="XO Thames" w:hAnsi="XO Thames"/>
      <w:sz w:val="22"/>
    </w:rPr>
  </w:style>
  <w:style w:type="character" w:styleId="826">
    <w:name w:val="Endnote"/>
    <w:link w:val="825"/>
    <w:rPr>
      <w:rFonts w:ascii="XO Thames" w:hAnsi="XO Thames"/>
      <w:sz w:val="22"/>
    </w:rPr>
  </w:style>
  <w:style w:type="paragraph" w:styleId="827">
    <w:name w:val="Heading 3"/>
    <w:basedOn w:val="813"/>
    <w:next w:val="813"/>
    <w:link w:val="828"/>
    <w:uiPriority w:val="9"/>
    <w:qFormat/>
    <w:pPr>
      <w:keepLines/>
      <w:keepNext/>
      <w:spacing w:before="200" w:after="0"/>
      <w:outlineLvl w:val="2"/>
    </w:pPr>
    <w:rPr>
      <w:rFonts w:asciiTheme="majorAscii" w:hAnsiTheme="majorHAnsi"/>
      <w:b/>
      <w:color w:val="4f81bd" w:themeColor="accent1"/>
    </w:rPr>
  </w:style>
  <w:style w:type="character" w:styleId="828">
    <w:name w:val="Heading 3"/>
    <w:basedOn w:val="814"/>
    <w:link w:val="827"/>
    <w:rPr>
      <w:rFonts w:asciiTheme="majorAscii" w:hAnsiTheme="majorHAnsi"/>
      <w:b/>
      <w:color w:val="4f81bd" w:themeColor="accent1"/>
    </w:rPr>
  </w:style>
  <w:style w:type="paragraph" w:styleId="829">
    <w:name w:val="Основной текст + 10 pt;Интервал 0 pt"/>
    <w:basedOn w:val="831"/>
    <w:link w:val="830"/>
    <w:rPr>
      <w:rFonts w:ascii="Times New Roman" w:hAnsi="Times New Roman"/>
      <w:b w:val="0"/>
      <w:i w:val="0"/>
      <w:smallCaps w:val="0"/>
      <w:strike w:val="0"/>
      <w:color w:val="000000"/>
      <w:spacing w:val="1"/>
      <w:sz w:val="20"/>
      <w:highlight w:val="white"/>
      <w:u w:val="none"/>
    </w:rPr>
  </w:style>
  <w:style w:type="character" w:styleId="830">
    <w:name w:val="Основной текст + 10 pt;Интервал 0 pt"/>
    <w:basedOn w:val="832"/>
    <w:link w:val="829"/>
    <w:rPr>
      <w:rFonts w:ascii="Times New Roman" w:hAnsi="Times New Roman"/>
      <w:b w:val="0"/>
      <w:i w:val="0"/>
      <w:smallCaps w:val="0"/>
      <w:strike w:val="0"/>
      <w:color w:val="000000"/>
      <w:spacing w:val="1"/>
      <w:sz w:val="20"/>
      <w:highlight w:val="white"/>
      <w:u w:val="none"/>
    </w:rPr>
  </w:style>
  <w:style w:type="paragraph" w:styleId="831">
    <w:name w:val="Основной текст2"/>
    <w:basedOn w:val="813"/>
    <w:link w:val="832"/>
    <w:pPr>
      <w:jc w:val="right"/>
      <w:spacing w:after="240" w:line="274" w:lineRule="exact"/>
      <w:widowControl w:val="off"/>
    </w:pPr>
    <w:rPr>
      <w:rFonts w:ascii="Times New Roman" w:hAnsi="Times New Roman"/>
      <w:spacing w:val="1"/>
      <w:sz w:val="20"/>
    </w:rPr>
  </w:style>
  <w:style w:type="character" w:styleId="832">
    <w:name w:val="Основной текст2"/>
    <w:basedOn w:val="814"/>
    <w:link w:val="831"/>
    <w:rPr>
      <w:rFonts w:ascii="Times New Roman" w:hAnsi="Times New Roman"/>
      <w:spacing w:val="1"/>
      <w:sz w:val="20"/>
    </w:rPr>
  </w:style>
  <w:style w:type="paragraph" w:styleId="833">
    <w:name w:val="Balloon Text"/>
    <w:basedOn w:val="813"/>
    <w:link w:val="834"/>
    <w:pPr>
      <w:spacing w:after="0" w:line="240" w:lineRule="auto"/>
    </w:pPr>
    <w:rPr>
      <w:rFonts w:ascii="Tahoma" w:hAnsi="Tahoma"/>
      <w:sz w:val="16"/>
    </w:rPr>
  </w:style>
  <w:style w:type="character" w:styleId="834">
    <w:name w:val="Balloon Text"/>
    <w:basedOn w:val="814"/>
    <w:link w:val="833"/>
    <w:rPr>
      <w:rFonts w:ascii="Tahoma" w:hAnsi="Tahoma"/>
      <w:sz w:val="16"/>
    </w:rPr>
  </w:style>
  <w:style w:type="paragraph" w:styleId="835">
    <w:name w:val="Знак Знак Знак Знак Знак Знак Знак Знак Знак Знак Знак Знак Знак Знак Знак Знак Знак"/>
    <w:basedOn w:val="813"/>
    <w:link w:val="836"/>
    <w:pPr>
      <w:spacing w:after="160" w:line="240" w:lineRule="exact"/>
    </w:pPr>
    <w:rPr>
      <w:rFonts w:ascii="Tahoma" w:hAnsi="Tahoma"/>
      <w:sz w:val="20"/>
    </w:rPr>
  </w:style>
  <w:style w:type="character" w:styleId="836">
    <w:name w:val="Знак Знак Знак Знак Знак Знак Знак Знак Знак Знак Знак Знак Знак Знак Знак Знак Знак"/>
    <w:basedOn w:val="814"/>
    <w:link w:val="835"/>
    <w:rPr>
      <w:rFonts w:ascii="Tahoma" w:hAnsi="Tahoma"/>
      <w:sz w:val="20"/>
    </w:rPr>
  </w:style>
  <w:style w:type="paragraph" w:styleId="837">
    <w:name w:val="toc 3"/>
    <w:next w:val="813"/>
    <w:link w:val="83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38">
    <w:name w:val="toc 3"/>
    <w:link w:val="837"/>
    <w:rPr>
      <w:rFonts w:ascii="XO Thames" w:hAnsi="XO Thames"/>
      <w:sz w:val="28"/>
    </w:rPr>
  </w:style>
  <w:style w:type="paragraph" w:styleId="839">
    <w:name w:val="Header"/>
    <w:basedOn w:val="813"/>
    <w:link w:val="84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>
    <w:name w:val="Header"/>
    <w:basedOn w:val="814"/>
    <w:link w:val="839"/>
  </w:style>
  <w:style w:type="paragraph" w:styleId="841">
    <w:name w:val="Heading 5"/>
    <w:next w:val="813"/>
    <w:link w:val="842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42">
    <w:name w:val="Heading 5"/>
    <w:link w:val="841"/>
    <w:rPr>
      <w:rFonts w:ascii="XO Thames" w:hAnsi="XO Thames"/>
      <w:b/>
      <w:sz w:val="22"/>
    </w:rPr>
  </w:style>
  <w:style w:type="paragraph" w:styleId="843">
    <w:name w:val="List Paragraph"/>
    <w:basedOn w:val="813"/>
    <w:link w:val="844"/>
    <w:pPr>
      <w:contextualSpacing/>
      <w:ind w:left="720" w:firstLine="0"/>
    </w:pPr>
  </w:style>
  <w:style w:type="character" w:styleId="844">
    <w:name w:val="List Paragraph"/>
    <w:basedOn w:val="814"/>
    <w:link w:val="843"/>
  </w:style>
  <w:style w:type="paragraph" w:styleId="845">
    <w:name w:val="Body Text 2"/>
    <w:basedOn w:val="813"/>
    <w:link w:val="846"/>
    <w:pPr>
      <w:spacing w:after="120" w:line="480" w:lineRule="auto"/>
    </w:pPr>
    <w:rPr>
      <w:rFonts w:ascii="Times New Roman" w:hAnsi="Times New Roman"/>
      <w:b/>
      <w:sz w:val="24"/>
    </w:rPr>
  </w:style>
  <w:style w:type="character" w:styleId="846">
    <w:name w:val="Body Text 2"/>
    <w:basedOn w:val="814"/>
    <w:link w:val="845"/>
    <w:rPr>
      <w:rFonts w:ascii="Times New Roman" w:hAnsi="Times New Roman"/>
      <w:b/>
      <w:sz w:val="24"/>
    </w:rPr>
  </w:style>
  <w:style w:type="paragraph" w:styleId="847">
    <w:name w:val="Heading 1"/>
    <w:basedOn w:val="813"/>
    <w:next w:val="813"/>
    <w:link w:val="848"/>
    <w:uiPriority w:val="9"/>
    <w:qFormat/>
    <w:pPr>
      <w:numPr>
        <w:ilvl w:val="0"/>
        <w:numId w:val="1"/>
      </w:numPr>
      <w:jc w:val="center"/>
      <w:keepNext/>
      <w:spacing w:after="0" w:line="240" w:lineRule="auto"/>
      <w:outlineLvl w:val="0"/>
    </w:pPr>
    <w:rPr>
      <w:rFonts w:ascii="Times New Roman" w:hAnsi="Times New Roman"/>
      <w:b/>
      <w:sz w:val="24"/>
    </w:rPr>
  </w:style>
  <w:style w:type="character" w:styleId="848">
    <w:name w:val="Heading 1"/>
    <w:basedOn w:val="814"/>
    <w:link w:val="847"/>
    <w:rPr>
      <w:rFonts w:ascii="Times New Roman" w:hAnsi="Times New Roman"/>
      <w:b/>
      <w:sz w:val="24"/>
    </w:rPr>
  </w:style>
  <w:style w:type="paragraph" w:styleId="849">
    <w:name w:val="Hyperlink"/>
    <w:basedOn w:val="863"/>
    <w:link w:val="850"/>
    <w:rPr>
      <w:color w:val="0000ff" w:themeColor="hyperlink"/>
      <w:u w:val="single"/>
    </w:rPr>
  </w:style>
  <w:style w:type="character" w:styleId="850">
    <w:name w:val="Hyperlink"/>
    <w:basedOn w:val="864"/>
    <w:link w:val="849"/>
    <w:rPr>
      <w:color w:val="0000ff" w:themeColor="hyperlink"/>
      <w:u w:val="single"/>
    </w:rPr>
  </w:style>
  <w:style w:type="paragraph" w:styleId="851">
    <w:name w:val="Footnote"/>
    <w:link w:val="852"/>
    <w:pPr>
      <w:ind w:left="0" w:firstLine="851"/>
      <w:jc w:val="both"/>
    </w:pPr>
    <w:rPr>
      <w:rFonts w:ascii="XO Thames" w:hAnsi="XO Thames"/>
      <w:sz w:val="22"/>
    </w:rPr>
  </w:style>
  <w:style w:type="character" w:styleId="852">
    <w:name w:val="Footnote"/>
    <w:link w:val="851"/>
    <w:rPr>
      <w:rFonts w:ascii="XO Thames" w:hAnsi="XO Thames"/>
      <w:sz w:val="22"/>
    </w:rPr>
  </w:style>
  <w:style w:type="paragraph" w:styleId="853">
    <w:name w:val="toc 1"/>
    <w:next w:val="813"/>
    <w:link w:val="854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54">
    <w:name w:val="toc 1"/>
    <w:link w:val="853"/>
    <w:rPr>
      <w:rFonts w:ascii="XO Thames" w:hAnsi="XO Thames"/>
      <w:b/>
      <w:sz w:val="28"/>
    </w:rPr>
  </w:style>
  <w:style w:type="paragraph" w:styleId="855">
    <w:name w:val="FollowedHyperlink"/>
    <w:basedOn w:val="863"/>
    <w:link w:val="856"/>
    <w:rPr>
      <w:color w:val="800080" w:themeColor="followedHyperlink"/>
      <w:u w:val="single"/>
    </w:rPr>
  </w:style>
  <w:style w:type="character" w:styleId="856">
    <w:name w:val="FollowedHyperlink"/>
    <w:basedOn w:val="864"/>
    <w:link w:val="855"/>
    <w:rPr>
      <w:color w:val="800080" w:themeColor="followedHyperlink"/>
      <w:u w:val="single"/>
    </w:rPr>
  </w:style>
  <w:style w:type="paragraph" w:styleId="857">
    <w:name w:val="Header and Footer"/>
    <w:link w:val="858"/>
    <w:pPr>
      <w:jc w:val="both"/>
      <w:spacing w:line="240" w:lineRule="auto"/>
    </w:pPr>
    <w:rPr>
      <w:rFonts w:ascii="XO Thames" w:hAnsi="XO Thames"/>
      <w:sz w:val="28"/>
    </w:rPr>
  </w:style>
  <w:style w:type="character" w:styleId="858">
    <w:name w:val="Header and Footer"/>
    <w:link w:val="857"/>
    <w:rPr>
      <w:rFonts w:ascii="XO Thames" w:hAnsi="XO Thames"/>
      <w:sz w:val="28"/>
    </w:rPr>
  </w:style>
  <w:style w:type="paragraph" w:styleId="859">
    <w:name w:val="Footer"/>
    <w:basedOn w:val="813"/>
    <w:link w:val="86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>
    <w:name w:val="Footer"/>
    <w:basedOn w:val="814"/>
    <w:link w:val="859"/>
  </w:style>
  <w:style w:type="paragraph" w:styleId="861">
    <w:name w:val="toc 9"/>
    <w:next w:val="813"/>
    <w:link w:val="862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62">
    <w:name w:val="toc 9"/>
    <w:link w:val="861"/>
    <w:rPr>
      <w:rFonts w:ascii="XO Thames" w:hAnsi="XO Thames"/>
      <w:sz w:val="28"/>
    </w:rPr>
  </w:style>
  <w:style w:type="paragraph" w:styleId="863">
    <w:name w:val="Default Paragraph Font"/>
    <w:link w:val="864"/>
  </w:style>
  <w:style w:type="character" w:styleId="864">
    <w:name w:val="Default Paragraph Font"/>
    <w:link w:val="863"/>
  </w:style>
  <w:style w:type="paragraph" w:styleId="865">
    <w:name w:val="toc 8"/>
    <w:next w:val="813"/>
    <w:link w:val="866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66">
    <w:name w:val="toc 8"/>
    <w:link w:val="865"/>
    <w:rPr>
      <w:rFonts w:ascii="XO Thames" w:hAnsi="XO Thames"/>
      <w:sz w:val="28"/>
    </w:rPr>
  </w:style>
  <w:style w:type="paragraph" w:styleId="867">
    <w:name w:val="toc 5"/>
    <w:next w:val="813"/>
    <w:link w:val="86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68">
    <w:name w:val="toc 5"/>
    <w:link w:val="867"/>
    <w:rPr>
      <w:rFonts w:ascii="XO Thames" w:hAnsi="XO Thames"/>
      <w:sz w:val="28"/>
    </w:rPr>
  </w:style>
  <w:style w:type="paragraph" w:styleId="869">
    <w:name w:val="ConsPlusNormal"/>
    <w:link w:val="870"/>
    <w:pPr>
      <w:spacing w:after="0" w:line="240" w:lineRule="auto"/>
      <w:widowControl w:val="off"/>
    </w:pPr>
    <w:rPr>
      <w:rFonts w:ascii="Calibri" w:hAnsi="Calibri"/>
    </w:rPr>
  </w:style>
  <w:style w:type="character" w:styleId="870">
    <w:name w:val="ConsPlusNormal"/>
    <w:link w:val="869"/>
    <w:rPr>
      <w:rFonts w:ascii="Calibri" w:hAnsi="Calibri"/>
    </w:rPr>
  </w:style>
  <w:style w:type="paragraph" w:styleId="871">
    <w:name w:val="Основной текст1"/>
    <w:basedOn w:val="831"/>
    <w:link w:val="872"/>
    <w:rPr>
      <w:rFonts w:ascii="Times New Roman" w:hAnsi="Times New Roman"/>
      <w:color w:val="000000"/>
      <w:spacing w:val="1"/>
      <w:sz w:val="20"/>
      <w:highlight w:val="white"/>
    </w:rPr>
  </w:style>
  <w:style w:type="character" w:styleId="872">
    <w:name w:val="Основной текст1"/>
    <w:basedOn w:val="832"/>
    <w:link w:val="871"/>
    <w:rPr>
      <w:rFonts w:ascii="Times New Roman" w:hAnsi="Times New Roman"/>
      <w:color w:val="000000"/>
      <w:spacing w:val="1"/>
      <w:sz w:val="20"/>
      <w:highlight w:val="white"/>
    </w:rPr>
  </w:style>
  <w:style w:type="paragraph" w:styleId="873">
    <w:name w:val="Subtitle"/>
    <w:next w:val="813"/>
    <w:link w:val="87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4">
    <w:name w:val="Subtitle"/>
    <w:link w:val="873"/>
    <w:rPr>
      <w:rFonts w:ascii="XO Thames" w:hAnsi="XO Thames"/>
      <w:i/>
      <w:sz w:val="24"/>
    </w:rPr>
  </w:style>
  <w:style w:type="paragraph" w:styleId="875">
    <w:name w:val="Основной текст + Интервал 0 pt"/>
    <w:basedOn w:val="863"/>
    <w:link w:val="876"/>
    <w:rPr>
      <w:rFonts w:ascii="Times New Roman" w:hAnsi="Times New Roman"/>
      <w:b w:val="0"/>
      <w:i w:val="0"/>
      <w:smallCaps w:val="0"/>
      <w:strike w:val="0"/>
      <w:color w:val="000000"/>
      <w:spacing w:val="2"/>
      <w:sz w:val="19"/>
      <w:u w:val="none"/>
    </w:rPr>
  </w:style>
  <w:style w:type="character" w:styleId="876">
    <w:name w:val="Основной текст + Интервал 0 pt"/>
    <w:basedOn w:val="864"/>
    <w:link w:val="875"/>
    <w:rPr>
      <w:rFonts w:ascii="Times New Roman" w:hAnsi="Times New Roman"/>
      <w:b w:val="0"/>
      <w:i w:val="0"/>
      <w:smallCaps w:val="0"/>
      <w:strike w:val="0"/>
      <w:color w:val="000000"/>
      <w:spacing w:val="2"/>
      <w:sz w:val="19"/>
      <w:u w:val="none"/>
    </w:rPr>
  </w:style>
  <w:style w:type="paragraph" w:styleId="877">
    <w:name w:val="Знак Знак Знак Знак Знак Знак Знак Знак Знак Знак Знак Знак Знак Знак Знак Знак Знак"/>
    <w:basedOn w:val="813"/>
    <w:link w:val="878"/>
    <w:pPr>
      <w:spacing w:after="160" w:line="240" w:lineRule="exact"/>
    </w:pPr>
    <w:rPr>
      <w:rFonts w:ascii="Tahoma" w:hAnsi="Tahoma"/>
      <w:sz w:val="20"/>
    </w:rPr>
  </w:style>
  <w:style w:type="character" w:styleId="878">
    <w:name w:val="Знак Знак Знак Знак Знак Знак Знак Знак Знак Знак Знак Знак Знак Знак Знак Знак Знак"/>
    <w:basedOn w:val="814"/>
    <w:link w:val="877"/>
    <w:rPr>
      <w:rFonts w:ascii="Tahoma" w:hAnsi="Tahoma"/>
      <w:sz w:val="20"/>
    </w:rPr>
  </w:style>
  <w:style w:type="paragraph" w:styleId="879">
    <w:name w:val="Title"/>
    <w:next w:val="813"/>
    <w:link w:val="88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0">
    <w:name w:val="Title"/>
    <w:link w:val="879"/>
    <w:rPr>
      <w:rFonts w:ascii="XO Thames" w:hAnsi="XO Thames"/>
      <w:b/>
      <w:caps/>
      <w:sz w:val="40"/>
    </w:rPr>
  </w:style>
  <w:style w:type="paragraph" w:styleId="881">
    <w:name w:val="Heading 4"/>
    <w:next w:val="813"/>
    <w:link w:val="88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82">
    <w:name w:val="Heading 4"/>
    <w:link w:val="881"/>
    <w:rPr>
      <w:rFonts w:ascii="XO Thames" w:hAnsi="XO Thames"/>
      <w:b/>
      <w:sz w:val="24"/>
    </w:rPr>
  </w:style>
  <w:style w:type="paragraph" w:styleId="883">
    <w:name w:val="Heading 2"/>
    <w:basedOn w:val="813"/>
    <w:next w:val="813"/>
    <w:link w:val="884"/>
    <w:uiPriority w:val="9"/>
    <w:qFormat/>
    <w:pPr>
      <w:keepLines/>
      <w:keepNext/>
      <w:spacing w:before="200" w:after="0"/>
      <w:outlineLvl w:val="1"/>
    </w:pPr>
    <w:rPr>
      <w:rFonts w:asciiTheme="majorAscii" w:hAnsiTheme="majorHAnsi"/>
      <w:b/>
      <w:color w:val="4f81bd" w:themeColor="accent1"/>
      <w:sz w:val="26"/>
    </w:rPr>
  </w:style>
  <w:style w:type="character" w:styleId="884">
    <w:name w:val="Heading 2"/>
    <w:basedOn w:val="814"/>
    <w:link w:val="883"/>
    <w:rPr>
      <w:rFonts w:asciiTheme="majorAscii" w:hAnsiTheme="majorHAnsi"/>
      <w:b/>
      <w:color w:val="4f81bd" w:themeColor="accent1"/>
      <w:sz w:val="26"/>
    </w:rPr>
  </w:style>
  <w:style w:type="table" w:styleId="885">
    <w:name w:val="Table Grid"/>
    <w:basedOn w:val="88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ts-tender.ru/platform-rules/platform-property-sales" TargetMode="External"/><Relationship Id="rId10" Type="http://schemas.openxmlformats.org/officeDocument/2006/relationships/hyperlink" Target="https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i.vusatyuk</cp:lastModifiedBy>
  <cp:revision>67</cp:revision>
  <dcterms:modified xsi:type="dcterms:W3CDTF">2026-01-14T14:51:01Z</dcterms:modified>
</cp:coreProperties>
</file>