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Аукционная документация открытого аукциона в электронной форме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b w:val="1"/>
        </w:rPr>
        <w:t>по продаже арестованного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>незаложенного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>не</w:t>
      </w:r>
      <w:r>
        <w:rPr>
          <w:rFonts w:ascii="XO Thames" w:hAnsi="XO Thames"/>
          <w:b w:val="1"/>
        </w:rPr>
        <w:t>движимого</w:t>
      </w:r>
    </w:p>
    <w:p w14:paraId="04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имущества </w:t>
      </w:r>
    </w:p>
    <w:p w14:paraId="05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</w:p>
    <w:p w14:paraId="06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дата и время </w:t>
      </w:r>
      <w:r>
        <w:rPr>
          <w:rFonts w:ascii="XO Thames" w:hAnsi="XO Thames"/>
        </w:rPr>
        <w:t>аукциона</w:t>
      </w:r>
      <w:r>
        <w:rPr>
          <w:rFonts w:ascii="XO Thames" w:hAnsi="XO Thames"/>
        </w:rPr>
        <w:t xml:space="preserve">: </w:t>
      </w:r>
      <w:r>
        <w:rPr>
          <w:rFonts w:ascii="XO Thames" w:hAnsi="XO Thames"/>
          <w:b w:val="1"/>
          <w:highlight w:val="yellow"/>
        </w:rPr>
        <w:t>«19</w:t>
      </w:r>
      <w:r>
        <w:rPr>
          <w:rFonts w:ascii="XO Thames" w:hAnsi="XO Thames"/>
          <w:b w:val="1"/>
          <w:highlight w:val="yellow"/>
        </w:rPr>
        <w:t>» февраля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20</w:t>
      </w:r>
      <w:r>
        <w:rPr>
          <w:rFonts w:ascii="XO Thames" w:hAnsi="XO Thames"/>
          <w:b w:val="1"/>
          <w:highlight w:val="yellow"/>
        </w:rPr>
        <w:t>26</w:t>
      </w:r>
      <w:r>
        <w:rPr>
          <w:rFonts w:ascii="XO Thames" w:hAnsi="XO Thames"/>
          <w:b w:val="1"/>
          <w:highlight w:val="yellow"/>
        </w:rPr>
        <w:t xml:space="preserve"> в </w:t>
      </w:r>
      <w:r>
        <w:rPr>
          <w:rFonts w:ascii="XO Thames" w:hAnsi="XO Thames"/>
          <w:b w:val="1"/>
          <w:highlight w:val="yellow"/>
        </w:rPr>
        <w:t>11</w:t>
      </w:r>
      <w:r>
        <w:rPr>
          <w:rFonts w:ascii="XO Thames" w:hAnsi="XO Thames"/>
          <w:b w:val="1"/>
          <w:highlight w:val="yellow"/>
        </w:rPr>
        <w:t>:00</w:t>
      </w:r>
      <w:r>
        <w:rPr>
          <w:rFonts w:ascii="XO Thames" w:hAnsi="XO Thames"/>
          <w:highlight w:val="yellow"/>
        </w:rPr>
        <w:t xml:space="preserve"> по московскому времени.</w:t>
      </w:r>
    </w:p>
    <w:p w14:paraId="07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Понятия и термины</w:t>
      </w:r>
    </w:p>
    <w:p w14:paraId="08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Продавец</w:t>
      </w:r>
      <w:r>
        <w:rPr>
          <w:rFonts w:ascii="XO Thames" w:hAnsi="XO Thames"/>
          <w:b w:val="1"/>
        </w:rPr>
        <w:t xml:space="preserve"> -  </w:t>
      </w:r>
      <w:r>
        <w:rPr>
          <w:rFonts w:ascii="XO Thames" w:hAnsi="XO Thames"/>
        </w:rPr>
        <w:t>Межрегиональное территориальное управление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Федерального агентства по управлению государственным имуществом </w:t>
      </w:r>
      <w:r>
        <w:rPr>
          <w:rFonts w:ascii="XO Thames" w:hAnsi="XO Thames"/>
        </w:rPr>
        <w:t>в Архангельской области и Ненецком автономном округе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ИНН 2901194203 КПП 290101001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местонахождение г. Архангельск, ул. К. Либкнехта, 2</w:t>
      </w:r>
      <w:r>
        <w:rPr>
          <w:rFonts w:ascii="XO Thames" w:hAnsi="XO Thames"/>
        </w:rPr>
        <w:t xml:space="preserve"> (далее - продавец);</w:t>
      </w:r>
    </w:p>
    <w:p w14:paraId="09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Предмет торгов</w:t>
      </w:r>
      <w:r>
        <w:rPr>
          <w:rFonts w:ascii="XO Thames" w:hAnsi="XO Thames"/>
          <w:color w:val="000000"/>
        </w:rPr>
        <w:t xml:space="preserve"> - выставленное на торги </w:t>
      </w:r>
      <w:r>
        <w:rPr>
          <w:rFonts w:ascii="XO Thames" w:hAnsi="XO Thames"/>
        </w:rPr>
        <w:t>незаложенное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не</w:t>
      </w:r>
      <w:r>
        <w:rPr>
          <w:rFonts w:ascii="XO Thames" w:hAnsi="XO Thames"/>
        </w:rPr>
        <w:t>движимое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color w:val="000000"/>
        </w:rPr>
        <w:t>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0A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А</w:t>
      </w:r>
      <w:r>
        <w:rPr>
          <w:rFonts w:ascii="XO Thames" w:hAnsi="XO Thames"/>
          <w:b w:val="1"/>
          <w:color w:val="000000"/>
        </w:rPr>
        <w:t>укцион в электронной форме</w:t>
      </w:r>
      <w:r>
        <w:rPr>
          <w:rFonts w:ascii="XO Thames" w:hAnsi="XO Thames"/>
          <w:color w:val="000000"/>
        </w:rPr>
        <w:t xml:space="preserve"> – аукц</w:t>
      </w:r>
      <w:r>
        <w:rPr>
          <w:rFonts w:ascii="XO Thames" w:hAnsi="XO Thames"/>
          <w:color w:val="000000"/>
        </w:rPr>
        <w:t>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https://www.rts-tender.ru (далее – аукцион);</w:t>
      </w:r>
    </w:p>
    <w:p w14:paraId="0B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Минимальная начальная цена продажи имущества</w:t>
      </w:r>
      <w:r>
        <w:rPr>
          <w:rFonts w:ascii="XO Thames" w:hAnsi="XO Thames"/>
          <w:color w:val="000000"/>
        </w:rPr>
        <w:t xml:space="preserve"> – стоимость имущества, установленная в постановлении судебного пристава - исполнителя, передавшего имущество на реализацию;</w:t>
      </w:r>
    </w:p>
    <w:p w14:paraId="0C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Заявка на участие в аукционе - </w:t>
      </w:r>
      <w:r>
        <w:rPr>
          <w:rFonts w:ascii="XO Thames" w:hAnsi="XO Thames"/>
        </w:rPr>
        <w:t>полный комплект документов, предоставляемый заявителем продавцу для участия в аукционе (далее – заявка);</w:t>
      </w:r>
    </w:p>
    <w:p w14:paraId="0D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Заявитель</w:t>
      </w:r>
      <w:r>
        <w:rPr>
          <w:rFonts w:ascii="XO Thames" w:hAnsi="XO Thames"/>
        </w:rPr>
        <w:t xml:space="preserve"> - лицо, подающее продавцу заявку;</w:t>
      </w:r>
    </w:p>
    <w:p w14:paraId="0E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Претендент</w:t>
      </w:r>
      <w:r>
        <w:rPr>
          <w:rFonts w:ascii="XO Thames" w:hAnsi="XO Thames"/>
        </w:rPr>
        <w:t xml:space="preserve"> - лицо, чья заявка принята продавцом;</w:t>
      </w:r>
    </w:p>
    <w:p w14:paraId="0F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Участник торгов</w:t>
      </w:r>
      <w:r>
        <w:rPr>
          <w:rFonts w:ascii="XO Thames" w:hAnsi="XO Thames"/>
        </w:rPr>
        <w:t xml:space="preserve"> - </w:t>
      </w:r>
      <w:r>
        <w:rPr>
          <w:rFonts w:ascii="XO Thames" w:hAnsi="XO Thames"/>
        </w:rPr>
        <w:t>претендент,  допущенный</w:t>
      </w:r>
      <w:r>
        <w:rPr>
          <w:rFonts w:ascii="XO Thames" w:hAnsi="XO Thames"/>
        </w:rPr>
        <w:t xml:space="preserve"> комиссией по проведению торгов по реализации имущества к участию в торгах.</w:t>
      </w:r>
    </w:p>
    <w:p w14:paraId="10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Правовое регулирование</w:t>
      </w:r>
    </w:p>
    <w:p w14:paraId="1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«О защите конкуренции», Федерального закона от 02.10.2007г. </w:t>
      </w:r>
      <w:r>
        <w:rPr>
          <w:rFonts w:ascii="XO Thames" w:hAnsi="XO Thames"/>
        </w:rPr>
        <w:t xml:space="preserve">№229-ФЗ </w:t>
      </w:r>
      <w:r>
        <w:rPr>
          <w:rFonts w:ascii="XO Thames" w:hAnsi="XO Thames"/>
        </w:rPr>
        <w:t>«Об исполнительном производстве»</w:t>
      </w:r>
      <w:r>
        <w:rPr>
          <w:rFonts w:ascii="XO Thames" w:hAnsi="XO Thames"/>
        </w:rPr>
        <w:t xml:space="preserve">, Федерального закона от 16.07.1998г. № 102-ФЗ «Об ипотеке (залоге недвижимости)», </w:t>
      </w:r>
      <w:r>
        <w:rPr>
          <w:rFonts w:ascii="XO Thames" w:hAnsi="XO Thames"/>
        </w:rPr>
        <w:t xml:space="preserve"> и иных нормативных правовых актов Российской Федерации, а также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12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Информационное обеспечение</w:t>
      </w:r>
    </w:p>
    <w:p w14:paraId="13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</w:t>
      </w:r>
      <w:r>
        <w:rPr>
          <w:rFonts w:ascii="XO Thames" w:hAnsi="XO Thames"/>
        </w:rPr>
        <w:t xml:space="preserve">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</w:rPr>
        <w:t xml:space="preserve"> (далее – официальный сайт). </w:t>
      </w:r>
    </w:p>
    <w:p w14:paraId="14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  <w:spacing w:val="-6"/>
        </w:rPr>
      </w:pPr>
      <w:r>
        <w:rPr>
          <w:rFonts w:ascii="XO Thames" w:hAnsi="XO Thames"/>
          <w:color w:val="000000"/>
        </w:rPr>
        <w:t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площадке, находящейся в сети интернет по адресу https://www.rts-tender.ru.</w:t>
      </w:r>
    </w:p>
    <w:p w14:paraId="15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 </w:t>
      </w:r>
      <w:r>
        <w:rPr>
          <w:rFonts w:ascii="XO Thames" w:hAnsi="XO Thames"/>
          <w:spacing w:val="-6"/>
        </w:rPr>
        <w:t xml:space="preserve">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  <w:spacing w:val="-6"/>
        </w:rPr>
        <w:t xml:space="preserve"> будут публиковаться все протоколы, составленные в ходе проведения настоящего аукциона, а </w:t>
      </w:r>
      <w:r>
        <w:rPr>
          <w:rFonts w:ascii="XO Thames" w:hAnsi="XO Thames"/>
          <w:spacing w:val="-6"/>
        </w:rPr>
        <w:t>так же</w:t>
      </w:r>
      <w:r>
        <w:rPr>
          <w:rFonts w:ascii="XO Thames" w:hAnsi="XO Thames"/>
          <w:spacing w:val="-6"/>
        </w:rPr>
        <w:t xml:space="preserve"> дополнения и изменения к настоящей аукционной документации, </w:t>
      </w:r>
      <w:r>
        <w:rPr>
          <w:rFonts w:ascii="XO Thames" w:hAnsi="XO Thames"/>
          <w:spacing w:val="-6"/>
        </w:rPr>
        <w:t>имеющие отношение к проведению торгов</w:t>
      </w:r>
      <w:r>
        <w:rPr>
          <w:rFonts w:ascii="XO Thames" w:hAnsi="XO Thames"/>
          <w:color w:val="FF0000"/>
          <w:spacing w:val="-6"/>
        </w:rPr>
        <w:t>.</w:t>
      </w:r>
      <w:r>
        <w:rPr>
          <w:rFonts w:ascii="XO Thames" w:hAnsi="XO Thames"/>
          <w:spacing w:val="-6"/>
        </w:rPr>
        <w:t xml:space="preserve"> </w:t>
      </w:r>
    </w:p>
    <w:p w14:paraId="16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форме заявления на участие в аукционе</w:t>
      </w:r>
    </w:p>
    <w:p w14:paraId="17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Для участия в аукционе претендент должен пройти регистрацию на электронной площадке в соответствии с регламентом электронной площадки (https://www.rts-tender.ru/platform-rules/platform-property-sales).</w:t>
      </w:r>
    </w:p>
    <w:p w14:paraId="18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Заявитель подает в составе заявки заявление на участие в аукционе по форме, установленной в приложении № 1.</w:t>
      </w:r>
    </w:p>
    <w:p w14:paraId="19000000">
      <w:pPr>
        <w:widowControl w:val="0"/>
        <w:numPr>
          <w:ilvl w:val="0"/>
          <w:numId w:val="1"/>
        </w:numPr>
        <w:tabs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составу заявки на участие в аукционе</w:t>
      </w:r>
    </w:p>
    <w:p w14:paraId="1A000000">
      <w:pPr>
        <w:widowControl w:val="0"/>
        <w:tabs>
          <w:tab w:leader="none" w:pos="1134" w:val="left"/>
        </w:tabs>
        <w:spacing w:line="276" w:lineRule="auto"/>
        <w:ind w:firstLine="567" w:left="0"/>
        <w:jc w:val="both"/>
        <w:rPr>
          <w:rFonts w:ascii="XO Thames" w:hAnsi="XO Thames"/>
          <w:b w:val="1"/>
          <w:i w:val="1"/>
          <w:color w:val="FF0000"/>
        </w:rPr>
      </w:pPr>
      <w:r>
        <w:rPr>
          <w:rFonts w:ascii="XO Thames" w:hAnsi="XO Thames"/>
          <w:b w:val="1"/>
          <w:i w:val="1"/>
        </w:rPr>
        <w:t xml:space="preserve">5.1.Заявление на участие в аукционе должно содержать следующие сведения: </w:t>
      </w:r>
    </w:p>
    <w:p w14:paraId="1B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юридическ</w:t>
      </w:r>
      <w:r>
        <w:rPr>
          <w:rFonts w:ascii="XO Thames" w:hAnsi="XO Thames"/>
          <w:sz w:val="24"/>
        </w:rPr>
        <w:t>их лиц: фирменное наименование</w:t>
      </w:r>
      <w:r>
        <w:rPr>
          <w:rFonts w:ascii="XO Thames" w:hAnsi="XO Thames"/>
          <w:sz w:val="24"/>
        </w:rPr>
        <w:t>, сведения об организационно - правовой форме, о м</w:t>
      </w:r>
      <w:r>
        <w:rPr>
          <w:rFonts w:ascii="XO Thames" w:hAnsi="XO Thames"/>
          <w:sz w:val="24"/>
        </w:rPr>
        <w:t>есте нахождения, почтовый адрес</w:t>
      </w:r>
      <w:r>
        <w:rPr>
          <w:rFonts w:ascii="XO Thames" w:hAnsi="XO Thames"/>
          <w:sz w:val="24"/>
        </w:rPr>
        <w:t xml:space="preserve">; </w:t>
      </w:r>
    </w:p>
    <w:p w14:paraId="1C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индивидуальных предпринимателей: фамилия, имя, отчество (если имеется), паспортные</w:t>
      </w:r>
      <w:r>
        <w:rPr>
          <w:rFonts w:ascii="XO Thames" w:hAnsi="XO Thames"/>
          <w:sz w:val="24"/>
        </w:rPr>
        <w:t xml:space="preserve"> данные, адрес места жительства</w:t>
      </w:r>
      <w:r>
        <w:rPr>
          <w:rFonts w:ascii="XO Thames" w:hAnsi="XO Thames"/>
          <w:sz w:val="24"/>
        </w:rPr>
        <w:t xml:space="preserve">; </w:t>
      </w:r>
    </w:p>
    <w:p w14:paraId="1D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физических лиц: фамилия, имя, отчество (если имеется), паспортные</w:t>
      </w:r>
      <w:r>
        <w:rPr>
          <w:rFonts w:ascii="XO Thames" w:hAnsi="XO Thames"/>
          <w:sz w:val="24"/>
        </w:rPr>
        <w:t xml:space="preserve"> данные, адрес места жительства</w:t>
      </w:r>
      <w:r>
        <w:rPr>
          <w:rFonts w:ascii="XO Thames" w:hAnsi="XO Thames"/>
          <w:sz w:val="24"/>
        </w:rPr>
        <w:t>.</w:t>
      </w:r>
    </w:p>
    <w:p w14:paraId="1E000000">
      <w:pPr>
        <w:widowControl w:val="0"/>
        <w:tabs>
          <w:tab w:leader="none" w:pos="1134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5.</w:t>
      </w:r>
      <w:r>
        <w:rPr>
          <w:rFonts w:ascii="XO Thames" w:hAnsi="XO Thames"/>
          <w:b w:val="1"/>
          <w:i w:val="1"/>
        </w:rPr>
        <w:t>2. В состав заявки входят следующие документы:</w:t>
      </w:r>
    </w:p>
    <w:p w14:paraId="1F000000">
      <w:pPr>
        <w:pStyle w:val="Style_4"/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  <w:u w:val="single"/>
        </w:rPr>
        <w:t xml:space="preserve">для юридических лиц: </w:t>
      </w:r>
      <w:r>
        <w:rPr>
          <w:rFonts w:ascii="XO Thames" w:hAnsi="XO Thames"/>
          <w:sz w:val="24"/>
        </w:rPr>
        <w:t xml:space="preserve"> </w:t>
      </w:r>
    </w:p>
    <w:p w14:paraId="20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21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копия свидетельства ИНН; </w:t>
      </w:r>
    </w:p>
    <w:p w14:paraId="22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копия свидетельства ОГРН ЮЛ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(юридические лица, зарегистрированные после 01.01.2017 г., предоставляют заверенную копию Листа записи ЕГРЮЛ)</w:t>
      </w:r>
      <w:r>
        <w:rPr>
          <w:rFonts w:ascii="XO Thames" w:hAnsi="XO Thames"/>
          <w:sz w:val="24"/>
        </w:rPr>
        <w:t xml:space="preserve">; </w:t>
      </w:r>
    </w:p>
    <w:p w14:paraId="23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копии учредительных документов заявителя; </w:t>
      </w:r>
    </w:p>
    <w:p w14:paraId="24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копии документов, подтверждающих полномочия руководителя юридического лица или уполномоченного на подачу заявки и на участие в аукционе лица</w:t>
      </w:r>
      <w:r>
        <w:rPr>
          <w:rFonts w:ascii="XO Thames" w:hAnsi="XO Thames"/>
          <w:sz w:val="24"/>
        </w:rPr>
        <w:t>;</w:t>
      </w:r>
    </w:p>
    <w:p w14:paraId="25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документ, подтверждающий статус юридического лица (для нерезидентов РФ); </w:t>
      </w:r>
    </w:p>
    <w:p w14:paraId="26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декларация о соответствии требованиям ст. 449.1 ГК РФ (в письменном виде, в свободной форме); </w:t>
      </w:r>
    </w:p>
    <w:p w14:paraId="27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</w:p>
    <w:p w14:paraId="28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b w:val="1"/>
          <w:sz w:val="24"/>
          <w:u w:val="single"/>
        </w:rPr>
        <w:t>для индивидуальных предпринимателей:</w:t>
      </w:r>
      <w:r>
        <w:rPr>
          <w:rFonts w:ascii="XO Thames" w:hAnsi="XO Thames"/>
          <w:sz w:val="24"/>
        </w:rPr>
        <w:t xml:space="preserve"> </w:t>
      </w:r>
    </w:p>
    <w:p w14:paraId="29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2A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копия свидетельства ИНН; </w:t>
      </w:r>
    </w:p>
    <w:p w14:paraId="2B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>копия свидетельства ОГРН ИП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(индивидуальные предприниматели, зарегистрированные после 01.01.2017 г.</w:t>
      </w:r>
      <w:r>
        <w:rPr>
          <w:rFonts w:ascii="XO Thames" w:hAnsi="XO Thames"/>
          <w:color w:val="000000"/>
          <w:sz w:val="24"/>
        </w:rPr>
        <w:t>, предоставляют заверенную копию Листа записи ЕГРИП</w:t>
      </w:r>
      <w:r>
        <w:rPr>
          <w:rFonts w:ascii="XO Thames" w:hAnsi="XO Thames"/>
          <w:color w:val="000000"/>
          <w:sz w:val="24"/>
        </w:rPr>
        <w:t>)</w:t>
      </w:r>
      <w:r>
        <w:rPr>
          <w:rFonts w:ascii="XO Thames" w:hAnsi="XO Thames"/>
          <w:sz w:val="24"/>
        </w:rPr>
        <w:t xml:space="preserve">; </w:t>
      </w:r>
    </w:p>
    <w:p w14:paraId="2C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>копия паспорта заявителя (все листы)</w:t>
      </w:r>
      <w:r>
        <w:rPr>
          <w:rFonts w:ascii="XO Thames" w:hAnsi="XO Thames"/>
          <w:sz w:val="24"/>
        </w:rPr>
        <w:t xml:space="preserve">; </w:t>
      </w:r>
    </w:p>
    <w:p w14:paraId="2D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копии документов, подтверждающих полномочия лица, уполномоченного на подачу заявки и на участие в аукционе; </w:t>
      </w:r>
    </w:p>
    <w:p w14:paraId="2E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декларация о </w:t>
      </w:r>
      <w:r>
        <w:rPr>
          <w:rFonts w:ascii="XO Thames" w:hAnsi="XO Thames"/>
          <w:sz w:val="24"/>
        </w:rPr>
        <w:t>соответствии  требованиям</w:t>
      </w:r>
      <w:r>
        <w:rPr>
          <w:rFonts w:ascii="XO Thames" w:hAnsi="XO Thames"/>
          <w:sz w:val="24"/>
        </w:rPr>
        <w:t xml:space="preserve"> ст. 449.1 ГК РФ (в письменном виде, в свободной форме); </w:t>
      </w:r>
    </w:p>
    <w:p w14:paraId="2F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0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1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2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  <w:u w:val="single"/>
        </w:rPr>
        <w:t>для физических лиц:</w:t>
      </w:r>
      <w:r>
        <w:rPr>
          <w:rFonts w:ascii="XO Thames" w:hAnsi="XO Thames"/>
          <w:sz w:val="24"/>
        </w:rPr>
        <w:t xml:space="preserve"> </w:t>
      </w:r>
    </w:p>
    <w:p w14:paraId="33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34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копия паспорта заявителя (все листы); </w:t>
      </w:r>
    </w:p>
    <w:p w14:paraId="35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color w:val="000000"/>
          <w:sz w:val="24"/>
        </w:rPr>
        <w:t xml:space="preserve"> </w:t>
      </w:r>
    </w:p>
    <w:p w14:paraId="36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декларация  о</w:t>
      </w:r>
      <w:r>
        <w:rPr>
          <w:rFonts w:ascii="XO Thames" w:hAnsi="XO Thames"/>
          <w:sz w:val="24"/>
        </w:rPr>
        <w:t xml:space="preserve"> соответствии  требованиям ст. 449.1 ГК РФ (в письменном виде, в свободной форме); </w:t>
      </w:r>
    </w:p>
    <w:p w14:paraId="37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8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9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b w:val="1"/>
          <w:sz w:val="24"/>
          <w:u w:val="single"/>
        </w:rPr>
        <w:t>для иностранных граждан и иностранных юридических лиц:</w:t>
      </w:r>
      <w:r>
        <w:rPr>
          <w:rFonts w:ascii="XO Thames" w:hAnsi="XO Thames"/>
          <w:sz w:val="24"/>
        </w:rPr>
        <w:t xml:space="preserve"> </w:t>
      </w:r>
    </w:p>
    <w:p w14:paraId="3A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3B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надлежащим образом заверенный перевод на </w:t>
      </w:r>
      <w:r>
        <w:rPr>
          <w:rFonts w:ascii="XO Thames" w:hAnsi="XO Thames"/>
          <w:sz w:val="24"/>
        </w:rPr>
        <w:t xml:space="preserve">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</w:t>
      </w:r>
    </w:p>
    <w:p w14:paraId="3C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 xml:space="preserve"> </w:t>
      </w:r>
    </w:p>
    <w:p w14:paraId="3D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декларация  о соответствии  требованиям ст. 449.1 ГК РФ (в письменном виде, в свободной форме); </w:t>
      </w:r>
    </w:p>
    <w:p w14:paraId="3E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F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40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участникам торгов</w:t>
      </w:r>
    </w:p>
    <w:p w14:paraId="41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</w:t>
      </w:r>
      <w:r>
        <w:rPr>
          <w:rFonts w:ascii="XO Thames" w:hAnsi="XO Thames"/>
        </w:rPr>
        <w:t xml:space="preserve">иностранный гражданин, </w:t>
      </w:r>
      <w:r>
        <w:rPr>
          <w:rFonts w:ascii="XO Thames" w:hAnsi="XO Thames"/>
        </w:rPr>
        <w:t>претендующее на заключение договора, соответствующие требованиям настоящей аукционной документации.</w:t>
      </w:r>
    </w:p>
    <w:p w14:paraId="42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п. 5 ст. </w:t>
      </w:r>
      <w:r>
        <w:rPr>
          <w:rFonts w:ascii="XO Thames" w:hAnsi="XO Thames"/>
        </w:rPr>
        <w:t xml:space="preserve">449.1 </w:t>
      </w:r>
      <w:r>
        <w:rPr>
          <w:rFonts w:ascii="XO Thames" w:hAnsi="XO Thames"/>
        </w:rPr>
        <w:t xml:space="preserve">ГК </w:t>
      </w:r>
      <w:r>
        <w:rPr>
          <w:rFonts w:ascii="XO Thames" w:hAnsi="XO Thames"/>
        </w:rPr>
        <w:t>РФ  в</w:t>
      </w:r>
      <w:r>
        <w:rPr>
          <w:rFonts w:ascii="XO Thames" w:hAnsi="XO Thames"/>
        </w:rPr>
        <w:t xml:space="preserve">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</w:t>
      </w:r>
      <w:r>
        <w:rPr>
          <w:rFonts w:ascii="XO Thames" w:hAnsi="XO Thames"/>
        </w:rPr>
        <w:t>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43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Условия допуска к участию в аукционе</w:t>
      </w:r>
    </w:p>
    <w:p w14:paraId="44000000">
      <w:pPr>
        <w:spacing w:line="276" w:lineRule="auto"/>
        <w:ind w:firstLine="567" w:left="0" w:right="150"/>
        <w:rPr>
          <w:rFonts w:ascii="XO Thames" w:hAnsi="XO Thames"/>
        </w:rPr>
      </w:pPr>
      <w:r>
        <w:rPr>
          <w:rFonts w:ascii="XO Thames" w:hAnsi="XO Thames"/>
          <w:b w:val="1"/>
          <w:i w:val="1"/>
        </w:rPr>
        <w:t>7.1.</w:t>
      </w:r>
      <w:r>
        <w:rPr>
          <w:rFonts w:ascii="XO Thames" w:hAnsi="XO Thames"/>
          <w:i w:val="1"/>
        </w:rPr>
        <w:t xml:space="preserve"> </w:t>
      </w:r>
      <w:r>
        <w:rPr>
          <w:rFonts w:ascii="XO Thames" w:hAnsi="XO Thames"/>
          <w:b w:val="1"/>
          <w:i w:val="1"/>
        </w:rPr>
        <w:t>Заявитель не допускается комиссией к участию в аукционе в случаях:</w:t>
      </w:r>
    </w:p>
    <w:p w14:paraId="45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1) </w:t>
      </w:r>
      <w:r>
        <w:rPr>
          <w:rFonts w:ascii="XO Thames" w:hAnsi="XO Thames"/>
          <w:sz w:val="24"/>
          <w:highlight w:val="white"/>
        </w:rPr>
        <w:t xml:space="preserve">подача предусмотренных </w:t>
      </w:r>
      <w:r>
        <w:rPr>
          <w:rFonts w:ascii="XO Thames" w:hAnsi="XO Thames"/>
          <w:sz w:val="24"/>
        </w:rPr>
        <w:t>информационным сообщением документов, н</w:t>
      </w:r>
      <w:r>
        <w:rPr>
          <w:rFonts w:ascii="XO Thames" w:hAnsi="XO Thames"/>
          <w:sz w:val="24"/>
        </w:rPr>
        <w:t>е соответствующих требованиям, </w:t>
      </w:r>
      <w:r>
        <w:rPr>
          <w:rFonts w:ascii="XO Thames" w:hAnsi="XO Thames"/>
          <w:sz w:val="24"/>
        </w:rPr>
        <w:t>установленным  законодательством</w:t>
      </w:r>
      <w:r>
        <w:rPr>
          <w:rFonts w:ascii="XO Thames" w:hAnsi="XO Thames"/>
          <w:sz w:val="24"/>
        </w:rPr>
        <w:t xml:space="preserve">  Российской Федерации и информационным сообщением (в </w:t>
      </w:r>
      <w:r>
        <w:rPr>
          <w:rFonts w:ascii="XO Thames" w:hAnsi="XO Thames"/>
          <w:sz w:val="24"/>
        </w:rPr>
        <w:t>т.ч</w:t>
      </w:r>
      <w:r>
        <w:rPr>
          <w:rFonts w:ascii="XO Thames" w:hAnsi="XO Thames"/>
          <w:sz w:val="24"/>
        </w:rPr>
        <w:t>. непредставления или неполное представление документов, определенных пунктом 5  настоящей аукционной документации, либо наличия в таких документах недостоверных сведений, несоответствия заявки на участие в аукционе требованиям аукционной документации)</w:t>
      </w:r>
      <w:r>
        <w:rPr>
          <w:rFonts w:ascii="XO Thames" w:hAnsi="XO Thames"/>
          <w:sz w:val="24"/>
          <w:highlight w:val="white"/>
        </w:rPr>
        <w:t>;</w:t>
      </w:r>
    </w:p>
    <w:p w14:paraId="46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highlight w:val="white"/>
        </w:rPr>
        <w:t xml:space="preserve">2) </w:t>
      </w:r>
      <w:r>
        <w:rPr>
          <w:rFonts w:ascii="XO Thames" w:hAnsi="XO Thames"/>
          <w:sz w:val="24"/>
        </w:rPr>
        <w:t>заявка подана лицом, не уполномоченным претендентом на осуществление таких действий;</w:t>
      </w:r>
    </w:p>
    <w:p w14:paraId="47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не поступления задатка в размере, указанном в извещении о проведении аукциона, на расчетный счет, указанный в информационном сообщении, в сроки, установленные в извещении о проведении аукциона;</w:t>
      </w:r>
    </w:p>
    <w:p w14:paraId="48000000">
      <w:pPr>
        <w:pStyle w:val="Style_4"/>
        <w:spacing w:after="0"/>
        <w:ind w:firstLine="709" w:left="-142" w:right="15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4) </w:t>
      </w:r>
      <w:r>
        <w:rPr>
          <w:rFonts w:ascii="XO Thames" w:hAnsi="XO Thames"/>
          <w:sz w:val="24"/>
        </w:rPr>
        <w:t>предусмотренных регламентом Работы ЭП «РТС-Тендер».</w:t>
      </w:r>
    </w:p>
    <w:p w14:paraId="49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 случае установления факта недостоверности сведений, содер</w:t>
      </w:r>
      <w:r>
        <w:rPr>
          <w:rFonts w:ascii="XO Thames" w:hAnsi="XO Thames"/>
        </w:rPr>
        <w:t>жащихся в документах, представленных заявителем или участником аукциона в соответствии с пунктом 5 настоящей аукционной документации, комиссия обязана отстранить такого претендента или участника аукциона от участия в аукционе на любом этапе его проведения.</w:t>
      </w:r>
    </w:p>
    <w:p w14:paraId="4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B000000">
      <w:pPr>
        <w:widowControl w:val="0"/>
        <w:tabs>
          <w:tab w:leader="none" w:pos="567" w:val="left"/>
        </w:tabs>
        <w:spacing w:line="276" w:lineRule="auto"/>
        <w:ind w:firstLine="567" w:left="0"/>
        <w:jc w:val="both"/>
        <w:rPr>
          <w:rFonts w:ascii="XO Thames" w:hAnsi="XO Thames"/>
          <w:b w:val="1"/>
          <w:i w:val="1"/>
        </w:rPr>
      </w:pPr>
      <w:r>
        <w:rPr>
          <w:rFonts w:ascii="XO Thames" w:hAnsi="XO Thames"/>
          <w:b w:val="1"/>
          <w:i w:val="1"/>
        </w:rPr>
        <w:t xml:space="preserve">7.2. Уведомление о </w:t>
      </w:r>
      <w:r>
        <w:rPr>
          <w:rFonts w:ascii="XO Thames" w:hAnsi="XO Thames"/>
          <w:b w:val="1"/>
          <w:i w:val="1"/>
        </w:rPr>
        <w:t>недопуске</w:t>
      </w:r>
      <w:r>
        <w:rPr>
          <w:rFonts w:ascii="XO Thames" w:hAnsi="XO Thames"/>
          <w:b w:val="1"/>
          <w:i w:val="1"/>
        </w:rPr>
        <w:t xml:space="preserve"> Заявителей к участию в аукционе:</w:t>
      </w:r>
    </w:p>
    <w:p w14:paraId="4C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Уведомление о </w:t>
      </w:r>
      <w:r>
        <w:rPr>
          <w:rFonts w:ascii="XO Thames" w:hAnsi="XO Thames"/>
        </w:rPr>
        <w:t>недопуске</w:t>
      </w:r>
      <w:r>
        <w:rPr>
          <w:rFonts w:ascii="XO Thames" w:hAnsi="XO Thames"/>
        </w:rPr>
        <w:t xml:space="preserve">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4D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 w:right="57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Порядок получения разъяснений аукционной документации, ознакомления с условиями договора купли-продажи, а </w:t>
      </w:r>
      <w:r>
        <w:rPr>
          <w:rFonts w:ascii="XO Thames" w:hAnsi="XO Thames"/>
          <w:b w:val="1"/>
        </w:rPr>
        <w:t>так же</w:t>
      </w:r>
      <w:r>
        <w:rPr>
          <w:rFonts w:ascii="XO Thames" w:hAnsi="XO Thames"/>
          <w:b w:val="1"/>
        </w:rPr>
        <w:t xml:space="preserve"> ознакомления с имуществом.</w:t>
      </w:r>
    </w:p>
    <w:p w14:paraId="4E000000">
      <w:pPr>
        <w:widowControl w:val="0"/>
        <w:tabs>
          <w:tab w:leader="none" w:pos="0" w:val="left"/>
        </w:tabs>
        <w:spacing w:line="276" w:lineRule="auto"/>
        <w:ind w:right="57"/>
        <w:jc w:val="both"/>
        <w:rPr>
          <w:rFonts w:ascii="XO Thames" w:hAnsi="XO Thames"/>
          <w:color w:val="FF0000"/>
        </w:rPr>
      </w:pPr>
      <w:r>
        <w:rPr>
          <w:rFonts w:ascii="XO Thames" w:hAnsi="XO Thames"/>
        </w:rPr>
        <w:t>Заявитель вправе обратиться за разъяснением положений настоящей аукционной документации к продавцу имущества.</w:t>
      </w:r>
      <w:r>
        <w:rPr>
          <w:rFonts w:ascii="XO Thames" w:hAnsi="XO Thames"/>
        </w:rPr>
        <w:t xml:space="preserve"> Ознакомление с дополнительной информацией о предмете аукциона </w:t>
      </w:r>
      <w:r>
        <w:rPr>
          <w:rFonts w:ascii="XO Thames" w:hAnsi="XO Thames"/>
        </w:rPr>
        <w:t xml:space="preserve">и иным вопросам осуществляется </w:t>
      </w:r>
      <w:r>
        <w:rPr>
          <w:rFonts w:ascii="XO Thames" w:hAnsi="XO Thames"/>
        </w:rPr>
        <w:t>по рабочим дням с 9.00 до 17.00 (пятница до 15.45) с момента публикации информационного сообщения до даты окончания подачи заявок по адресу: г. Архангельск, наб. Северной Двины, д. 35/2, по предварительной записи на каждый лот по тел. 8 (8182) 20-17-14.</w:t>
      </w:r>
    </w:p>
    <w:p w14:paraId="4F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Порядок оформления и подачи заявки:</w:t>
      </w:r>
    </w:p>
    <w:p w14:paraId="50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Заявка представляет собой полный комплект документов, представляемых заявителем для участия в </w:t>
      </w:r>
      <w:r>
        <w:rPr>
          <w:rFonts w:ascii="XO Thames" w:hAnsi="XO Thames"/>
          <w:sz w:val="24"/>
        </w:rPr>
        <w:t>аукционе.</w:t>
      </w:r>
    </w:p>
    <w:p w14:paraId="51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2000000">
      <w:pPr>
        <w:pStyle w:val="Style_4"/>
        <w:widowControl w:val="0"/>
        <w:numPr>
          <w:ilvl w:val="0"/>
          <w:numId w:val="7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направляет заявку с приложенными документами в установленный срок в форме скан-копий документов через электронную площадку.</w:t>
      </w:r>
    </w:p>
    <w:p w14:paraId="53000000">
      <w:pPr>
        <w:pStyle w:val="Style_4"/>
        <w:widowControl w:val="0"/>
        <w:numPr>
          <w:ilvl w:val="0"/>
          <w:numId w:val="7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54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5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56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57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подает заявку на участие в аукционе в сроки, установленные в извещении.</w:t>
      </w:r>
    </w:p>
    <w:p w14:paraId="58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59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5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разделе «Тарифы».</w:t>
      </w:r>
    </w:p>
    <w:p w14:paraId="5B000000">
      <w:pPr>
        <w:pStyle w:val="Style_4"/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и срок отзыва заявок</w:t>
      </w:r>
    </w:p>
    <w:p w14:paraId="5C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Заявите</w:t>
      </w:r>
      <w:r>
        <w:rPr>
          <w:rFonts w:ascii="XO Thames" w:hAnsi="XO Thames"/>
        </w:rPr>
        <w:t xml:space="preserve">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5D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after="0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приема и рассмотрения заявок на участие в аукционе</w:t>
      </w:r>
    </w:p>
    <w:p w14:paraId="5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highlight w:val="yellow"/>
        </w:rPr>
      </w:pPr>
      <w:r>
        <w:rPr>
          <w:rFonts w:ascii="XO Thames" w:hAnsi="XO Thames"/>
        </w:rPr>
        <w:t xml:space="preserve">Срок окончания подачи заявок </w:t>
      </w:r>
      <w:r>
        <w:rPr>
          <w:rFonts w:ascii="XO Thames" w:hAnsi="XO Thames"/>
          <w:highlight w:val="yellow"/>
        </w:rPr>
        <w:t>«16</w:t>
      </w:r>
      <w:r>
        <w:rPr>
          <w:rFonts w:ascii="XO Thames" w:hAnsi="XO Thames"/>
          <w:highlight w:val="yellow"/>
        </w:rPr>
        <w:t>»</w:t>
      </w:r>
      <w:r>
        <w:rPr>
          <w:rFonts w:ascii="XO Thames" w:hAnsi="XO Thames"/>
          <w:highlight w:val="yellow"/>
        </w:rPr>
        <w:t xml:space="preserve"> февраля</w:t>
      </w:r>
      <w:r>
        <w:rPr>
          <w:rFonts w:ascii="XO Thames" w:hAnsi="XO Thames"/>
          <w:highlight w:val="yellow"/>
        </w:rPr>
        <w:t xml:space="preserve"> 2026</w:t>
      </w:r>
      <w:r>
        <w:rPr>
          <w:rFonts w:ascii="XO Thames" w:hAnsi="XO Thames"/>
          <w:highlight w:val="yellow"/>
        </w:rPr>
        <w:t>г</w:t>
      </w:r>
      <w:r>
        <w:rPr>
          <w:rFonts w:ascii="XO Thames" w:hAnsi="XO Thames"/>
          <w:highlight w:val="yellow"/>
        </w:rPr>
        <w:t xml:space="preserve">. в </w:t>
      </w:r>
      <w:r>
        <w:rPr>
          <w:rFonts w:ascii="XO Thames" w:hAnsi="XO Thames"/>
          <w:highlight w:val="yellow"/>
        </w:rPr>
        <w:t>23</w:t>
      </w:r>
      <w:r>
        <w:rPr>
          <w:rFonts w:ascii="XO Thames" w:hAnsi="XO Thames"/>
          <w:highlight w:val="yellow"/>
        </w:rPr>
        <w:t>:</w:t>
      </w:r>
      <w:r>
        <w:rPr>
          <w:rFonts w:ascii="XO Thames" w:hAnsi="XO Thames"/>
          <w:highlight w:val="yellow"/>
        </w:rPr>
        <w:t>59</w:t>
      </w:r>
      <w:r>
        <w:rPr>
          <w:rFonts w:ascii="XO Thames" w:hAnsi="XO Thames"/>
          <w:highlight w:val="yellow"/>
        </w:rPr>
        <w:t>.</w:t>
      </w:r>
    </w:p>
    <w:p w14:paraId="5F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Прием заявок осуществляется через оператора электронной площадки.</w:t>
      </w:r>
    </w:p>
    <w:p w14:paraId="60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Рассмотрение заявок </w:t>
      </w:r>
      <w:r>
        <w:rPr>
          <w:rFonts w:ascii="XO Thames" w:hAnsi="XO Thames"/>
        </w:rPr>
        <w:t xml:space="preserve">состоится </w:t>
      </w:r>
      <w:r>
        <w:rPr>
          <w:rFonts w:ascii="XO Thames" w:hAnsi="XO Thames"/>
          <w:shd w:fill="FFD821" w:val="clear"/>
        </w:rPr>
        <w:t>«18» февраля</w:t>
      </w:r>
      <w:r>
        <w:rPr>
          <w:rFonts w:ascii="XO Thames" w:hAnsi="XO Thames"/>
          <w:shd w:fill="FFD821" w:val="clear"/>
        </w:rPr>
        <w:t xml:space="preserve"> 2</w:t>
      </w:r>
      <w:r>
        <w:rPr>
          <w:rFonts w:ascii="XO Thames" w:hAnsi="XO Thames"/>
          <w:shd w:fill="FFD821" w:val="clear"/>
        </w:rPr>
        <w:t>026</w:t>
      </w:r>
      <w:r>
        <w:rPr>
          <w:rFonts w:ascii="XO Thames" w:hAnsi="XO Thames"/>
          <w:shd w:fill="FFD821" w:val="clear"/>
        </w:rPr>
        <w:t xml:space="preserve"> г. в 11</w:t>
      </w:r>
      <w:r>
        <w:rPr>
          <w:rFonts w:ascii="XO Thames" w:hAnsi="XO Thames"/>
          <w:shd w:fill="FFD821" w:val="clear"/>
        </w:rPr>
        <w:t>:00</w:t>
      </w:r>
      <w:r>
        <w:rPr>
          <w:rFonts w:ascii="XO Thames" w:hAnsi="XO Thames"/>
          <w:shd w:fill="FFD821" w:val="clear"/>
        </w:rPr>
        <w:t xml:space="preserve"> </w:t>
      </w:r>
      <w:r>
        <w:rPr>
          <w:rFonts w:ascii="XO Thames" w:hAnsi="XO Thames"/>
        </w:rPr>
        <w:t>по месту нахождения продавца.</w:t>
      </w:r>
      <w:r>
        <w:rPr>
          <w:rFonts w:ascii="XO Thames" w:hAnsi="XO Thames"/>
        </w:rPr>
        <w:t xml:space="preserve"> </w:t>
      </w:r>
    </w:p>
    <w:p w14:paraId="6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62000000">
      <w:pPr>
        <w:pStyle w:val="Style_4"/>
        <w:widowControl w:val="0"/>
        <w:numPr>
          <w:ilvl w:val="0"/>
          <w:numId w:val="1"/>
        </w:numPr>
        <w:tabs>
          <w:tab w:leader="none" w:pos="0" w:val="left"/>
          <w:tab w:leader="none" w:pos="284" w:val="left"/>
          <w:tab w:leader="none" w:pos="993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проведения аукциона</w:t>
      </w:r>
    </w:p>
    <w:p w14:paraId="63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  <w:spacing w:val="-6"/>
          <w:highlight w:val="lightGray"/>
        </w:rPr>
      </w:pPr>
      <w:r>
        <w:rPr>
          <w:rFonts w:ascii="XO Thames" w:hAnsi="XO Thames"/>
        </w:rPr>
        <w:t xml:space="preserve">Аукцион проводится </w:t>
      </w:r>
      <w:r>
        <w:rPr>
          <w:rFonts w:ascii="XO Thames" w:hAnsi="XO Thames"/>
          <w:b w:val="1"/>
          <w:highlight w:val="yellow"/>
        </w:rPr>
        <w:t>«19</w:t>
      </w:r>
      <w:r>
        <w:rPr>
          <w:rFonts w:ascii="XO Thames" w:hAnsi="XO Thames"/>
          <w:b w:val="1"/>
          <w:highlight w:val="yellow"/>
        </w:rPr>
        <w:t>» февраля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20</w:t>
      </w:r>
      <w:r>
        <w:rPr>
          <w:rFonts w:ascii="XO Thames" w:hAnsi="XO Thames"/>
          <w:b w:val="1"/>
          <w:highlight w:val="yellow"/>
        </w:rPr>
        <w:t>26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г. в 11 часов 00</w:t>
      </w:r>
      <w:r>
        <w:rPr>
          <w:rFonts w:ascii="XO Thames" w:hAnsi="XO Thames"/>
          <w:highlight w:val="yellow"/>
        </w:rPr>
        <w:t xml:space="preserve"> минут</w:t>
      </w:r>
      <w:r>
        <w:rPr>
          <w:rFonts w:ascii="XO Thames" w:hAnsi="XO Thames"/>
        </w:rPr>
        <w:t xml:space="preserve"> по московскому времени 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соответствии со ст. 87, 89, 90 ФЗ от 02 октября 2007г. № 229-ФЗ «Об исполнительном производстве»,</w:t>
      </w:r>
      <w:r>
        <w:rPr>
          <w:rFonts w:ascii="XO Thames" w:hAnsi="XO Thames"/>
        </w:rPr>
        <w:t xml:space="preserve"> № 102-ФЗ от 16.07.1998г. </w:t>
      </w:r>
      <w:r>
        <w:rPr>
          <w:rFonts w:ascii="XO Thames" w:hAnsi="XO Thames"/>
        </w:rPr>
        <w:t>«</w:t>
      </w:r>
      <w:r>
        <w:rPr>
          <w:rFonts w:ascii="XO Thames" w:hAnsi="XO Thames"/>
        </w:rPr>
        <w:t>Об ипотеке (залоге недвижимости)</w:t>
      </w:r>
      <w:r>
        <w:rPr>
          <w:rFonts w:ascii="XO Thames" w:hAnsi="XO Thames"/>
        </w:rPr>
        <w:t xml:space="preserve">», </w:t>
      </w:r>
      <w:r>
        <w:rPr>
          <w:rFonts w:ascii="XO Thames" w:hAnsi="XO Thames"/>
        </w:rPr>
        <w:t>ст. 447-449</w:t>
      </w:r>
      <w:r>
        <w:rPr>
          <w:rFonts w:ascii="XO Thames" w:hAnsi="XO Thames"/>
        </w:rPr>
        <w:t>.1</w:t>
      </w:r>
      <w:r>
        <w:rPr>
          <w:rFonts w:ascii="XO Thames" w:hAnsi="XO Thames"/>
        </w:rPr>
        <w:t xml:space="preserve"> ГК РФ,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"https://i.rts-tender.ru/"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 xml:space="preserve">, в подразделе «Документы Электронной площадки «РТС-тендер» для проведения имущественных торгов» раздела «Имущество», </w:t>
      </w:r>
      <w:r>
        <w:rPr>
          <w:rFonts w:ascii="XO Thames" w:hAnsi="XO Thames"/>
        </w:rPr>
        <w:t>иными нормативными документами электронной площадки</w:t>
      </w:r>
      <w:r>
        <w:rPr>
          <w:rFonts w:ascii="XO Thames" w:hAnsi="XO Thames"/>
        </w:rPr>
        <w:t>.</w:t>
      </w:r>
    </w:p>
    <w:p w14:paraId="64000000">
      <w:pPr>
        <w:widowControl w:val="0"/>
        <w:tabs>
          <w:tab w:leader="none" w:pos="0" w:val="left"/>
          <w:tab w:leader="none" w:pos="284" w:val="left"/>
          <w:tab w:leader="none" w:pos="993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В аукционе могут участвовать только заявители, признанные участниками торгов.</w:t>
      </w:r>
    </w:p>
    <w:p w14:paraId="65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Продажа выставленного на аукцион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</w:t>
      </w:r>
      <w:r>
        <w:rPr>
          <w:rFonts w:ascii="XO Thames" w:hAnsi="XO Thames"/>
          <w:color w:val="000000"/>
        </w:rPr>
        <w:t>так же</w:t>
      </w:r>
      <w:r>
        <w:rPr>
          <w:rFonts w:ascii="XO Thames" w:hAnsi="XO Thames"/>
          <w:color w:val="000000"/>
        </w:rPr>
        <w:t xml:space="preserve"> равной минимальной начальной цене продажи имущества.</w:t>
      </w:r>
    </w:p>
    <w:p w14:paraId="66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Победителем аукциона признается участник, предложивший по ходу аукциона наиболее высокую цену. </w:t>
      </w:r>
    </w:p>
    <w:p w14:paraId="67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Продавец и Победитель аукциона обязан</w:t>
      </w:r>
      <w:r>
        <w:rPr>
          <w:rFonts w:ascii="XO Thames" w:hAnsi="XO Thames"/>
        </w:rPr>
        <w:t>ы</w:t>
      </w:r>
      <w:r>
        <w:rPr>
          <w:rFonts w:ascii="XO Thames" w:hAnsi="XO Thames"/>
        </w:rPr>
        <w:t xml:space="preserve"> подписать </w:t>
      </w:r>
      <w:r>
        <w:rPr>
          <w:rFonts w:ascii="XO Thames" w:hAnsi="XO Thames"/>
          <w:spacing w:val="-6"/>
        </w:rPr>
        <w:t xml:space="preserve">протокол о результатах аукциона по </w:t>
      </w:r>
      <w:r>
        <w:rPr>
          <w:rFonts w:ascii="XO Thames" w:hAnsi="XO Thames"/>
          <w:spacing w:val="-6"/>
        </w:rPr>
        <w:t>продаже  арестованного</w:t>
      </w:r>
      <w:r>
        <w:rPr>
          <w:rFonts w:ascii="XO Thames" w:hAnsi="XO Thames"/>
          <w:spacing w:val="-6"/>
        </w:rPr>
        <w:t xml:space="preserve"> имущества</w:t>
      </w:r>
      <w:r>
        <w:rPr>
          <w:rFonts w:ascii="XO Thames" w:hAnsi="XO Thames"/>
        </w:rPr>
        <w:t xml:space="preserve"> в день проведения аукциона</w:t>
      </w:r>
      <w:r>
        <w:rPr>
          <w:rFonts w:ascii="XO Thames" w:hAnsi="XO Thames"/>
        </w:rPr>
        <w:t xml:space="preserve"> с помощью информационно-технических средств электронной площадки</w:t>
      </w:r>
      <w:r>
        <w:rPr>
          <w:rFonts w:ascii="XO Thames" w:hAnsi="XO Thames"/>
        </w:rPr>
        <w:t xml:space="preserve">. </w:t>
      </w:r>
      <w:r>
        <w:rPr>
          <w:rFonts w:ascii="XO Thames" w:hAnsi="XO Thames"/>
        </w:rPr>
        <w:t xml:space="preserve">Данный протокол является основанием для заключения договора купли-продажи.  </w:t>
      </w:r>
    </w:p>
    <w:p w14:paraId="68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Лицо, выигравшее аукцион, должно внести в течение пяти дней после их окончания сумму, за которую данным лицом куплено арестованное имущество (покупную цену), за вычетом ранее внесенного задатка на счет продавца:</w:t>
      </w:r>
    </w:p>
    <w:tbl>
      <w:tblPr>
        <w:tblStyle w:val="Style_5"/>
        <w:tblW w:type="auto" w:w="0"/>
        <w:tblLayout w:type="fixed"/>
      </w:tblPr>
      <w:tblGrid>
        <w:gridCol w:w="3652"/>
        <w:gridCol w:w="6662"/>
      </w:tblGrid>
      <w:tr>
        <w:tc>
          <w:tcPr>
            <w:tcW w:type="dxa" w:w="3652"/>
          </w:tcPr>
          <w:p w14:paraId="69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Наименование организации</w:t>
            </w:r>
          </w:p>
        </w:tc>
        <w:tc>
          <w:tcPr>
            <w:tcW w:type="dxa" w:w="6662"/>
          </w:tcPr>
          <w:p w14:paraId="6A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</w:t>
            </w:r>
          </w:p>
        </w:tc>
      </w:tr>
      <w:tr>
        <w:tc>
          <w:tcPr>
            <w:tcW w:type="dxa" w:w="3652"/>
          </w:tcPr>
          <w:p w14:paraId="6B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Сокращенное наименование организации</w:t>
            </w:r>
          </w:p>
        </w:tc>
        <w:tc>
          <w:tcPr>
            <w:tcW w:type="dxa" w:w="6662"/>
          </w:tcPr>
          <w:p w14:paraId="6C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МТУ Росимущества в Архангельской области и Ненецком автономном округе</w:t>
            </w:r>
          </w:p>
        </w:tc>
      </w:tr>
      <w:tr>
        <w:tc>
          <w:tcPr>
            <w:tcW w:type="dxa" w:w="3652"/>
          </w:tcPr>
          <w:p w14:paraId="6D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type="dxa" w:w="6662"/>
          </w:tcPr>
          <w:p w14:paraId="6E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2901194203</w:t>
            </w:r>
          </w:p>
        </w:tc>
      </w:tr>
      <w:tr>
        <w:tc>
          <w:tcPr>
            <w:tcW w:type="dxa" w:w="3652"/>
          </w:tcPr>
          <w:p w14:paraId="6F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КПП</w:t>
            </w:r>
          </w:p>
        </w:tc>
        <w:tc>
          <w:tcPr>
            <w:tcW w:type="dxa" w:w="6662"/>
          </w:tcPr>
          <w:p w14:paraId="70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290101001</w:t>
            </w:r>
          </w:p>
        </w:tc>
      </w:tr>
      <w:tr>
        <w:tc>
          <w:tcPr>
            <w:tcW w:type="dxa" w:w="3652"/>
          </w:tcPr>
          <w:p w14:paraId="71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Единый казначейский счет</w:t>
            </w:r>
          </w:p>
        </w:tc>
        <w:tc>
          <w:tcPr>
            <w:tcW w:type="dxa" w:w="6662"/>
          </w:tcPr>
          <w:p w14:paraId="72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40102810045370000016</w:t>
            </w:r>
          </w:p>
        </w:tc>
      </w:tr>
      <w:tr>
        <w:tc>
          <w:tcPr>
            <w:tcW w:type="dxa" w:w="3652"/>
          </w:tcPr>
          <w:p w14:paraId="73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Казначейский счет</w:t>
            </w:r>
          </w:p>
        </w:tc>
        <w:tc>
          <w:tcPr>
            <w:tcW w:type="dxa" w:w="6662"/>
          </w:tcPr>
          <w:p w14:paraId="74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03212643000000012400</w:t>
            </w:r>
          </w:p>
        </w:tc>
      </w:tr>
      <w:tr>
        <w:tc>
          <w:tcPr>
            <w:tcW w:type="dxa" w:w="3652"/>
          </w:tcPr>
          <w:p w14:paraId="75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Лицевой счет</w:t>
            </w:r>
          </w:p>
        </w:tc>
        <w:tc>
          <w:tcPr>
            <w:tcW w:type="dxa" w:w="6662"/>
          </w:tcPr>
          <w:p w14:paraId="76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05241А21020</w:t>
            </w:r>
          </w:p>
        </w:tc>
      </w:tr>
      <w:tr>
        <w:tc>
          <w:tcPr>
            <w:tcW w:type="dxa" w:w="3652"/>
          </w:tcPr>
          <w:p w14:paraId="77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Банк</w:t>
            </w:r>
          </w:p>
        </w:tc>
        <w:tc>
          <w:tcPr>
            <w:tcW w:type="dxa" w:w="6662"/>
          </w:tcPr>
          <w:p w14:paraId="78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ОКЦ № 2 Северо – Западного ГУ Банка России//УФК по Архангельской области и Ненецкому автономному округу г. Архангельск</w:t>
            </w:r>
          </w:p>
        </w:tc>
      </w:tr>
      <w:tr>
        <w:tc>
          <w:tcPr>
            <w:tcW w:type="dxa" w:w="3652"/>
          </w:tcPr>
          <w:p w14:paraId="79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БИК</w:t>
            </w:r>
          </w:p>
        </w:tc>
        <w:tc>
          <w:tcPr>
            <w:tcW w:type="dxa" w:w="6662"/>
          </w:tcPr>
          <w:p w14:paraId="7A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011117401</w:t>
            </w:r>
          </w:p>
        </w:tc>
      </w:tr>
      <w:tr>
        <w:tc>
          <w:tcPr>
            <w:tcW w:type="dxa" w:w="3652"/>
          </w:tcPr>
          <w:p w14:paraId="7B000000">
            <w:pPr>
              <w:spacing w:line="276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Код 22</w:t>
            </w:r>
          </w:p>
        </w:tc>
        <w:tc>
          <w:tcPr>
            <w:tcW w:type="dxa" w:w="6662"/>
          </w:tcPr>
          <w:p w14:paraId="7C000000">
            <w:pPr>
              <w:spacing w:line="276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0001</w:t>
            </w:r>
          </w:p>
        </w:tc>
      </w:tr>
    </w:tbl>
    <w:p w14:paraId="7D000000">
      <w:pPr>
        <w:pStyle w:val="Style_6"/>
        <w:spacing w:line="276" w:lineRule="auto"/>
        <w:ind/>
        <w:jc w:val="left"/>
        <w:rPr>
          <w:rFonts w:ascii="XO Thames" w:hAnsi="XO Thames"/>
          <w:color w:val="FF0000"/>
          <w:sz w:val="24"/>
          <w:highlight w:val="yellow"/>
          <w:u w:val="single"/>
        </w:rPr>
      </w:pPr>
      <w:r>
        <w:rPr>
          <w:rFonts w:ascii="XO Thames" w:hAnsi="XO Thames"/>
          <w:color w:val="FF0000"/>
          <w:sz w:val="24"/>
          <w:highlight w:val="yellow"/>
          <w:u w:val="single"/>
        </w:rPr>
        <w:t xml:space="preserve">ВНИМАНИЕ! С 01.01.2022 необходимо в обязательном порядке заполнять </w:t>
      </w:r>
      <w:r>
        <w:rPr>
          <w:rFonts w:ascii="XO Thames" w:hAnsi="XO Thames"/>
          <w:color w:val="FF0000"/>
          <w:sz w:val="24"/>
          <w:highlight w:val="yellow"/>
          <w:u w:val="single"/>
        </w:rPr>
        <w:t>поле  22</w:t>
      </w:r>
      <w:r>
        <w:rPr>
          <w:rFonts w:ascii="XO Thames" w:hAnsi="XO Thames"/>
          <w:color w:val="FF0000"/>
          <w:sz w:val="24"/>
          <w:highlight w:val="yellow"/>
          <w:u w:val="single"/>
        </w:rPr>
        <w:t xml:space="preserve"> «Код» платежного поручения. </w:t>
      </w:r>
    </w:p>
    <w:p w14:paraId="7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При невнесении указанной суммы и уклонении от подписания договора купли-продажи </w:t>
      </w:r>
      <w:r>
        <w:rPr>
          <w:rFonts w:ascii="XO Thames" w:hAnsi="XO Thames"/>
          <w:spacing w:val="-6"/>
        </w:rPr>
        <w:t>арестованного имущества</w:t>
      </w:r>
      <w:r>
        <w:rPr>
          <w:rFonts w:ascii="XO Thames" w:hAnsi="XO Thames"/>
        </w:rPr>
        <w:t xml:space="preserve"> задаток не возвращается.</w:t>
      </w:r>
    </w:p>
    <w:p w14:paraId="7F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заключения договора</w:t>
      </w:r>
      <w:r>
        <w:rPr>
          <w:rFonts w:ascii="XO Thames" w:hAnsi="XO Thames"/>
          <w:b w:val="1"/>
          <w:sz w:val="24"/>
        </w:rPr>
        <w:t xml:space="preserve"> купли-продажи</w:t>
      </w:r>
    </w:p>
    <w:p w14:paraId="80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Продавец заключает договор купли-продажи</w:t>
      </w:r>
      <w:r>
        <w:rPr>
          <w:rFonts w:ascii="XO Thames" w:hAnsi="XO Thames"/>
        </w:rPr>
        <w:t xml:space="preserve"> имущества</w:t>
      </w:r>
      <w:r>
        <w:rPr>
          <w:rFonts w:ascii="XO Thames" w:hAnsi="XO Thames"/>
        </w:rPr>
        <w:t xml:space="preserve"> (Приложение №2)</w:t>
      </w:r>
      <w:r>
        <w:rPr>
          <w:rFonts w:ascii="XO Thames" w:hAnsi="XO Thames"/>
        </w:rPr>
        <w:t xml:space="preserve"> с лицом, выигравшим публичны</w:t>
      </w:r>
      <w:r>
        <w:rPr>
          <w:rFonts w:ascii="XO Thames" w:hAnsi="XO Thames"/>
        </w:rPr>
        <w:t>е</w:t>
      </w:r>
      <w:r>
        <w:rPr>
          <w:rFonts w:ascii="XO Thames" w:hAnsi="XO Thames"/>
        </w:rPr>
        <w:t xml:space="preserve"> торги, путем подписания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договора при помощи </w:t>
      </w:r>
      <w:r>
        <w:rPr>
          <w:rFonts w:ascii="XO Thames" w:hAnsi="XO Thames"/>
        </w:rPr>
        <w:t xml:space="preserve">ЭЦП в электронной форме и </w:t>
      </w:r>
      <w:r>
        <w:rPr>
          <w:rFonts w:ascii="XO Thames" w:hAnsi="XO Thames"/>
        </w:rPr>
        <w:t>по адресу</w:t>
      </w:r>
      <w:r>
        <w:rPr>
          <w:rFonts w:ascii="XO Thames" w:hAnsi="XO Thames"/>
        </w:rPr>
        <w:t xml:space="preserve"> нахождения продавца</w:t>
      </w:r>
      <w:r>
        <w:rPr>
          <w:rFonts w:ascii="XO Thames" w:hAnsi="XO Thames"/>
        </w:rPr>
        <w:t xml:space="preserve">: </w:t>
      </w:r>
      <w:r>
        <w:rPr>
          <w:rFonts w:ascii="XO Thames" w:hAnsi="XO Thames"/>
        </w:rPr>
        <w:t>г. Архангельск, наб. Северной Двины, д. 35/2</w:t>
      </w:r>
      <w:r>
        <w:rPr>
          <w:rFonts w:ascii="XO Thames" w:hAnsi="XO Thames"/>
        </w:rPr>
        <w:t xml:space="preserve">. Договор купли-продажи по </w:t>
      </w:r>
      <w:r>
        <w:rPr>
          <w:rFonts w:ascii="XO Thames" w:hAnsi="XO Thames"/>
        </w:rPr>
        <w:t xml:space="preserve">арестованному незаложенному </w:t>
      </w:r>
      <w:r>
        <w:rPr>
          <w:rFonts w:ascii="XO Thames" w:hAnsi="XO Thames"/>
        </w:rPr>
        <w:t>не</w:t>
      </w:r>
      <w:r>
        <w:rPr>
          <w:rFonts w:ascii="XO Thames" w:hAnsi="XO Thames"/>
        </w:rPr>
        <w:t xml:space="preserve">движимому имуществу заключается </w:t>
      </w:r>
      <w:r>
        <w:rPr>
          <w:rFonts w:ascii="XO Thames" w:hAnsi="XO Thames"/>
        </w:rPr>
        <w:t>не ранее 10 дней с даты проведения аукциона</w:t>
      </w:r>
      <w:r>
        <w:rPr>
          <w:rFonts w:ascii="XO Thames" w:hAnsi="XO Thames"/>
        </w:rPr>
        <w:t>.</w:t>
      </w:r>
    </w:p>
    <w:p w14:paraId="8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Имущество передается по месту его нахождения. Передача имущества покупателю осуществляется </w:t>
      </w:r>
      <w:r>
        <w:rPr>
          <w:rFonts w:ascii="XO Thames" w:hAnsi="XO Thames"/>
          <w:color w:val="000000"/>
        </w:rPr>
        <w:t>по  подписываемому</w:t>
      </w:r>
      <w:r>
        <w:rPr>
          <w:rFonts w:ascii="XO Thames" w:hAnsi="XO Thames"/>
          <w:color w:val="000000"/>
        </w:rPr>
        <w:t xml:space="preserve"> сторонами акту приема-передачи (Приложение №3) к Договору купли продажи арестованного незаложенного недвижимого имущества.</w:t>
      </w:r>
    </w:p>
    <w:p w14:paraId="82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Победитель торгов самостоятельно осуществляет снятие арестов, запретов на совершение регистрационных действий иных </w:t>
      </w:r>
      <w:r>
        <w:rPr>
          <w:rFonts w:ascii="XO Thames" w:hAnsi="XO Thames"/>
          <w:color w:val="000000"/>
        </w:rPr>
        <w:t>обременений  имущества</w:t>
      </w:r>
      <w:r>
        <w:rPr>
          <w:rFonts w:ascii="XO Thames" w:hAnsi="XO Thames"/>
          <w:color w:val="000000"/>
        </w:rPr>
        <w:t>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83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В соответствии с ч. 3 ст. 158 Жилищного</w:t>
      </w:r>
      <w:r>
        <w:rPr>
          <w:rFonts w:ascii="XO Thames" w:hAnsi="XO Thames"/>
        </w:rPr>
        <w:t xml:space="preserve">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</w:t>
      </w:r>
      <w:r>
        <w:rPr>
          <w:rFonts w:ascii="XO Thames" w:hAnsi="XO Thames"/>
        </w:rPr>
        <w:t>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</w:t>
      </w:r>
      <w:r>
        <w:rPr>
          <w:rFonts w:ascii="XO Thames" w:hAnsi="XO Thames"/>
        </w:rPr>
        <w:t>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14:paraId="84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На основании части 1 статьи 42 Федерального закона от 13.07.2015 года № 218-ФЗ «О государственной регистрации недвижимости» договоры купли-продажи доли (долей) в общей долевой собственности на арестованный объе</w:t>
      </w:r>
      <w:r>
        <w:rPr>
          <w:rFonts w:ascii="XO Thames" w:hAnsi="XO Thames"/>
          <w:color w:val="000000"/>
        </w:rPr>
        <w:t>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85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</w:t>
      </w:r>
    </w:p>
    <w:p w14:paraId="86000000">
      <w:pPr>
        <w:pStyle w:val="Style_4"/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Признание торгов несостоявшимися, последствия признания торгов несостоявшимися:</w:t>
      </w:r>
    </w:p>
    <w:p w14:paraId="87000000">
      <w:pPr>
        <w:pStyle w:val="Style_4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ind w:hanging="709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Продавец объявляет торги несостоявшимися, если:</w:t>
      </w:r>
    </w:p>
    <w:p w14:paraId="88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Заявки на участие в торгах подали менее двух лиц;</w:t>
      </w:r>
    </w:p>
    <w:p w14:paraId="89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0"/>
          <w:sz w:val="24"/>
        </w:rPr>
        <w:t>На торги не явились участники торгов либо явился один участник торгов;</w:t>
      </w:r>
    </w:p>
    <w:p w14:paraId="8A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Допущено комиссией к участию в торгах менее двух лиц;</w:t>
      </w:r>
    </w:p>
    <w:p w14:paraId="8B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Из явившихся участников торгов никто не сделал надбавки к начальной цене имущества;</w:t>
      </w:r>
    </w:p>
    <w:p w14:paraId="8C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8D000000">
      <w:pPr>
        <w:pStyle w:val="Style_4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ind w:hanging="709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Продавец объявляет вторичные торги в соответствии с действующим законодательством. </w:t>
      </w:r>
    </w:p>
    <w:p w14:paraId="8E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/>
        <w:ind w:firstLine="621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</w:t>
      </w:r>
      <w:r>
        <w:rPr>
          <w:rFonts w:ascii="XO Thames" w:hAnsi="XO Thames"/>
          <w:b w:val="1"/>
          <w:sz w:val="24"/>
        </w:rPr>
        <w:t>ядок внесения задатка:</w:t>
      </w:r>
    </w:p>
    <w:p w14:paraId="8F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Заявители обязаны внести задаток в необходимом размере до окончания приема заявок.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Задаток должен быть внесен в размере, указанном в извещении, опубликованном на 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  <w:color w:val="000000"/>
        </w:rPr>
        <w:t xml:space="preserve"> на счет э</w:t>
      </w:r>
      <w:r>
        <w:rPr>
          <w:rFonts w:ascii="XO Thames" w:hAnsi="XO Thames"/>
          <w:color w:val="000000"/>
        </w:rPr>
        <w:t>лектронной площадки «РТС-Тендер»</w:t>
      </w:r>
      <w:r>
        <w:rPr>
          <w:rFonts w:ascii="XO Thames" w:hAnsi="XO Thames"/>
          <w:color w:val="000000"/>
        </w:rPr>
        <w:t xml:space="preserve"> (в соответствии с регламентом электронной площадки)</w:t>
      </w:r>
      <w:r>
        <w:rPr>
          <w:rFonts w:ascii="XO Thames" w:hAnsi="XO Thames"/>
          <w:color w:val="000000"/>
        </w:rPr>
        <w:t>:</w:t>
      </w:r>
      <w:r>
        <w:rPr>
          <w:rFonts w:ascii="XO Thames" w:hAnsi="XO Thames"/>
          <w:color w:val="000000"/>
        </w:rPr>
        <w:t xml:space="preserve"> </w:t>
      </w:r>
    </w:p>
    <w:p w14:paraId="90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Наименование банка Филиал «Корпоративный» ПАО «СОВКОМБАНК» </w:t>
      </w:r>
    </w:p>
    <w:p w14:paraId="91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Расчетный счёт 40702810512030016362</w:t>
      </w:r>
    </w:p>
    <w:p w14:paraId="92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Корр. счёт 30101810445250000360</w:t>
      </w:r>
    </w:p>
    <w:p w14:paraId="93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БИК 044525360</w:t>
      </w:r>
    </w:p>
    <w:p w14:paraId="94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ИНН 7710357167 </w:t>
      </w:r>
    </w:p>
    <w:p w14:paraId="95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КПП 773001001 </w:t>
      </w:r>
    </w:p>
    <w:p w14:paraId="96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14:paraId="97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Указанное извещение является публичной офертой для заключения договора о задатке в соответствии со ст. 437 Гражданского кодекса РФ. Перечисление задатка является акцептом такой оферты, после чего договор о задатке считается заключенным.</w:t>
      </w:r>
    </w:p>
    <w:p w14:paraId="98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С целью определения поступления задатка для участия в Аукционе, претенденты/участники вправе обратиться в адрес электронной площадки.</w:t>
      </w:r>
    </w:p>
    <w:p w14:paraId="99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 w:firstLine="349" w:left="644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16. </w:t>
      </w:r>
      <w:r>
        <w:rPr>
          <w:rFonts w:ascii="XO Thames" w:hAnsi="XO Thames"/>
          <w:b w:val="1"/>
        </w:rPr>
        <w:t>Возврат задатка</w:t>
      </w:r>
    </w:p>
    <w:p w14:paraId="9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Денежные средства, внесенные в качестве задатка на участие в аукционе победителем аукциона, засчитываются в качестве оплаты покупной цены имущества</w:t>
      </w:r>
      <w:r>
        <w:rPr>
          <w:rFonts w:ascii="XO Thames" w:hAnsi="XO Thames"/>
        </w:rPr>
        <w:t>. При не направлении продавцу победителем аукциона в срок, предусмотренный извещением, договора купли-продажи, победитель признается уклонившимся от заключения договора. В случае уклонения победителя аукциона от заключения договора задаток не возвращается.</w:t>
      </w:r>
      <w:r>
        <w:rPr>
          <w:rFonts w:ascii="XO Thames" w:hAnsi="XO Thames"/>
        </w:rPr>
        <w:t xml:space="preserve"> </w:t>
      </w:r>
    </w:p>
    <w:p w14:paraId="9B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Возврат задатка Заявителю осуществляется в следующем порядке:</w:t>
      </w:r>
    </w:p>
    <w:p w14:paraId="9C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>- в случае, если Заявитель не будет допущен к участию в аукционе - в течение 5 (пяти) рабочих дней с даты оформления Комиссией по проведению торгов Протокола окончания приема и регистрации заявок на участие в аукционе;</w:t>
      </w:r>
    </w:p>
    <w:p w14:paraId="9D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 в случае, если Заявитель участвовал в аукционе, но не выиграл его - немедленно по окончанию публичных торгов; </w:t>
      </w:r>
    </w:p>
    <w:p w14:paraId="9E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 в случае отзыва Заявителем заявки на участие в аукционе до момента приобретения им статуса участника аукциона - в течение 5 (пяти) рабочих дней со дня поступления организатору аукциона от Заявителя уведомления об отзыве заявки; </w:t>
      </w:r>
    </w:p>
    <w:p w14:paraId="9F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  <w:u w:val="single"/>
        </w:rPr>
      </w:pPr>
      <w:r>
        <w:rPr>
          <w:rFonts w:ascii="XO Thames" w:hAnsi="XO Thames"/>
        </w:rPr>
        <w:t>- в случае признания аукциона несостоявшимися - в течение 5 (пяти) рабочих дней со дня принятия Комиссией по проведению торгов решения об объявлении аукциона несостоявшимся;</w:t>
      </w:r>
    </w:p>
    <w:p w14:paraId="A0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>- в случае отмены аукциона по продаже Имущества - в течение 5 (пяти) рабочих дней со дня принятия Комиссией по проведению торгов решения об отмене аукциона.</w:t>
      </w:r>
    </w:p>
    <w:p w14:paraId="A1000000">
      <w:pPr>
        <w:widowControl w:val="0"/>
        <w:tabs>
          <w:tab w:leader="none" w:pos="567" w:val="left"/>
        </w:tabs>
        <w:spacing w:line="276" w:lineRule="auto"/>
        <w:ind w:firstLine="539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17. Общие положения </w:t>
      </w:r>
    </w:p>
    <w:p w14:paraId="A2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Все вопросы, касающиеся проведения </w:t>
      </w:r>
      <w:r>
        <w:rPr>
          <w:rFonts w:ascii="XO Thames" w:hAnsi="XO Thames"/>
        </w:rPr>
        <w:t>аукциона</w:t>
      </w:r>
      <w:r>
        <w:rPr>
          <w:rFonts w:ascii="XO Thames" w:hAnsi="XO Thames"/>
        </w:rPr>
        <w:t>, но не нашедшие отражения в настоящем извещении, регулируются в соответствии с законодательством РФ. Получить дополнительную информацию о</w:t>
      </w:r>
      <w:r>
        <w:rPr>
          <w:rFonts w:ascii="XO Thames" w:hAnsi="XO Thames"/>
        </w:rPr>
        <w:t>б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аукционе</w:t>
      </w:r>
      <w:r>
        <w:rPr>
          <w:rFonts w:ascii="XO Thames" w:hAnsi="XO Thames"/>
        </w:rPr>
        <w:t xml:space="preserve"> и о правилах </w:t>
      </w:r>
      <w:r>
        <w:rPr>
          <w:rFonts w:ascii="XO Thames" w:hAnsi="XO Thames"/>
        </w:rPr>
        <w:t>его</w:t>
      </w:r>
      <w:r>
        <w:rPr>
          <w:rFonts w:ascii="XO Thames" w:hAnsi="XO Thames"/>
        </w:rPr>
        <w:t xml:space="preserve"> проведения, ознакомиться с формой заявки, можно на официальном 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</w:rPr>
        <w:t xml:space="preserve">, сайте электронной торговой площадки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соответствии со ст. 447-449</w:t>
      </w:r>
      <w:r>
        <w:rPr>
          <w:rFonts w:ascii="XO Thames" w:hAnsi="XO Thames"/>
        </w:rPr>
        <w:t>.1</w:t>
      </w:r>
      <w:r>
        <w:rPr>
          <w:rFonts w:ascii="XO Thames" w:hAnsi="XO Thames"/>
        </w:rPr>
        <w:t xml:space="preserve"> ГК РФ, ст. 87, 89, 90 ФЗ «Об исполнительном производстве» от 02 октября 2007г. № 229-ФЗ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№ 1</w:t>
      </w:r>
      <w:r>
        <w:rPr>
          <w:rFonts w:ascii="XO Thames" w:hAnsi="XO Thames"/>
        </w:rPr>
        <w:t>02</w:t>
      </w:r>
      <w:r>
        <w:rPr>
          <w:rFonts w:ascii="XO Thames" w:hAnsi="XO Thames"/>
        </w:rPr>
        <w:t>-ФЗ</w:t>
      </w:r>
      <w:r>
        <w:rPr>
          <w:rFonts w:ascii="XO Thames" w:hAnsi="XO Thames"/>
        </w:rPr>
        <w:t xml:space="preserve"> от 16.07.1998г.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«</w:t>
      </w:r>
      <w:r>
        <w:rPr>
          <w:rFonts w:ascii="XO Thames" w:hAnsi="XO Thames"/>
        </w:rPr>
        <w:t>Об ипотеке (залоге недвижимости)</w:t>
      </w:r>
      <w:r>
        <w:rPr>
          <w:rFonts w:ascii="XO Thames" w:hAnsi="XO Thames"/>
        </w:rPr>
        <w:t>»</w:t>
      </w:r>
      <w:r>
        <w:rPr>
          <w:rFonts w:ascii="XO Thames" w:hAnsi="XO Thames"/>
        </w:rPr>
        <w:t xml:space="preserve">, ознакомиться с документацией о предмете аукциона можно по адресу местонахождения продавца, по предварительной записи по телефону 8(8182) 20-17-14, а также путем направления запроса на электронную почту продавца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"mailto:tu29@rosim.ru"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tu</w:t>
      </w:r>
      <w:r>
        <w:rPr>
          <w:rStyle w:val="Style_3_ch"/>
          <w:rFonts w:ascii="XO Thames" w:hAnsi="XO Thames"/>
        </w:rPr>
        <w:t>29@</w:t>
      </w:r>
      <w:r>
        <w:rPr>
          <w:rStyle w:val="Style_3_ch"/>
          <w:rFonts w:ascii="XO Thames" w:hAnsi="XO Thames"/>
        </w:rPr>
        <w:t>rosim</w:t>
      </w:r>
      <w:r>
        <w:rPr>
          <w:rStyle w:val="Style_3_ch"/>
          <w:rFonts w:ascii="XO Thames" w:hAnsi="XO Thames"/>
        </w:rPr>
        <w:t>.</w:t>
      </w:r>
      <w:r>
        <w:rPr>
          <w:rStyle w:val="Style_3_ch"/>
          <w:rFonts w:ascii="XO Thames" w:hAnsi="XO Thames"/>
        </w:rPr>
        <w:t>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либо через личный кабинет на электронной площадке «РТС-Тендер».</w:t>
      </w:r>
    </w:p>
    <w:p w14:paraId="A3000000">
      <w:pPr>
        <w:widowControl w:val="0"/>
        <w:tabs>
          <w:tab w:leader="none" w:pos="567" w:val="left"/>
        </w:tabs>
        <w:ind/>
        <w:rPr>
          <w:rFonts w:ascii="XO Thames" w:hAnsi="XO Thames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454" w:footer="709" w:gutter="0" w:header="709" w:left="1134" w:right="567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230"/>
      </w:pPr>
    </w:lvl>
    <w:lvl w:ilvl="1">
      <w:start w:val="1"/>
      <w:numFmt w:val="decimal"/>
      <w:lvlText w:val="%1.%2."/>
      <w:lvlJc w:val="left"/>
      <w:pPr>
        <w:ind w:hanging="480" w:left="710"/>
      </w:pPr>
    </w:lvl>
    <w:lvl w:ilvl="2">
      <w:start w:val="1"/>
      <w:numFmt w:val="decimal"/>
      <w:lvlText w:val="%1.%2.%3."/>
      <w:lvlJc w:val="left"/>
      <w:pPr>
        <w:ind w:hanging="720" w:left="1310"/>
      </w:pPr>
    </w:lvl>
    <w:lvl w:ilvl="3">
      <w:start w:val="1"/>
      <w:numFmt w:val="decimal"/>
      <w:lvlText w:val="%1.%2.%3.%4."/>
      <w:lvlJc w:val="left"/>
      <w:pPr>
        <w:ind w:hanging="720" w:left="1670"/>
      </w:pPr>
    </w:lvl>
    <w:lvl w:ilvl="4">
      <w:start w:val="1"/>
      <w:numFmt w:val="decimal"/>
      <w:lvlText w:val="%1.%2.%3.%4.%5."/>
      <w:lvlJc w:val="left"/>
      <w:pPr>
        <w:ind w:hanging="1080" w:left="2390"/>
      </w:pPr>
    </w:lvl>
    <w:lvl w:ilvl="5">
      <w:start w:val="1"/>
      <w:numFmt w:val="decimal"/>
      <w:lvlText w:val="%1.%2.%3.%4.%5.%6."/>
      <w:lvlJc w:val="left"/>
      <w:pPr>
        <w:ind w:hanging="1080" w:left="2750"/>
      </w:pPr>
    </w:lvl>
    <w:lvl w:ilvl="6">
      <w:start w:val="1"/>
      <w:numFmt w:val="decimal"/>
      <w:lvlText w:val="%1.%2.%3.%4.%5.%6.%7."/>
      <w:lvlJc w:val="left"/>
      <w:pPr>
        <w:ind w:hanging="1440" w:left="3470"/>
      </w:pPr>
    </w:lvl>
    <w:lvl w:ilvl="7">
      <w:start w:val="1"/>
      <w:numFmt w:val="decimal"/>
      <w:lvlText w:val="%1.%2.%3.%4.%5.%6.%7.%8."/>
      <w:lvlJc w:val="left"/>
      <w:pPr>
        <w:ind w:hanging="1440" w:left="3830"/>
      </w:pPr>
    </w:lvl>
    <w:lvl w:ilvl="8">
      <w:start w:val="1"/>
      <w:numFmt w:val="decimal"/>
      <w:lvlText w:val="%1.%2.%3.%4.%5.%6.%7.%8.%9."/>
      <w:lvlJc w:val="left"/>
      <w:pPr>
        <w:ind w:hanging="1800" w:left="455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1200"/>
      </w:pPr>
    </w:lvl>
    <w:lvl w:ilvl="1">
      <w:start w:val="1"/>
      <w:numFmt w:val="lowerLetter"/>
      <w:lvlText w:val="%2."/>
      <w:lvlJc w:val="left"/>
      <w:pPr>
        <w:ind w:hanging="360" w:left="1920"/>
      </w:pPr>
    </w:lvl>
    <w:lvl w:ilvl="2">
      <w:start w:val="1"/>
      <w:numFmt w:val="lowerRoman"/>
      <w:lvlText w:val="%3."/>
      <w:lvlJc w:val="right"/>
      <w:pPr>
        <w:ind w:hanging="180" w:left="2640"/>
      </w:pPr>
    </w:lvl>
    <w:lvl w:ilvl="3">
      <w:start w:val="1"/>
      <w:numFmt w:val="decimal"/>
      <w:lvlText w:val="%4."/>
      <w:lvlJc w:val="left"/>
      <w:pPr>
        <w:ind w:hanging="360" w:left="3360"/>
      </w:pPr>
    </w:lvl>
    <w:lvl w:ilvl="4">
      <w:start w:val="1"/>
      <w:numFmt w:val="lowerLetter"/>
      <w:lvlText w:val="%5."/>
      <w:lvlJc w:val="left"/>
      <w:pPr>
        <w:ind w:hanging="360" w:left="4080"/>
      </w:pPr>
    </w:lvl>
    <w:lvl w:ilvl="5">
      <w:start w:val="1"/>
      <w:numFmt w:val="lowerRoman"/>
      <w:lvlText w:val="%6."/>
      <w:lvlJc w:val="right"/>
      <w:pPr>
        <w:ind w:hanging="180" w:left="4800"/>
      </w:pPr>
    </w:lvl>
    <w:lvl w:ilvl="6">
      <w:start w:val="1"/>
      <w:numFmt w:val="decimal"/>
      <w:lvlText w:val="%7."/>
      <w:lvlJc w:val="left"/>
      <w:pPr>
        <w:ind w:hanging="360" w:left="5520"/>
      </w:pPr>
    </w:lvl>
    <w:lvl w:ilvl="7">
      <w:start w:val="1"/>
      <w:numFmt w:val="lowerLetter"/>
      <w:lvlText w:val="%8."/>
      <w:lvlJc w:val="left"/>
      <w:pPr>
        <w:ind w:hanging="360" w:left="6240"/>
      </w:pPr>
    </w:lvl>
    <w:lvl w:ilvl="8">
      <w:start w:val="1"/>
      <w:numFmt w:val="lowerRoman"/>
      <w:lvlText w:val="%9."/>
      <w:lvlJc w:val="right"/>
      <w:pPr>
        <w:ind w:hanging="180" w:left="69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нак Знак1 Знак Знак Знак Знак Знак Знак Знак Знак"/>
    <w:basedOn w:val="Style_7"/>
    <w:link w:val="Style_9_ch"/>
    <w:pPr>
      <w:spacing w:after="160" w:line="240" w:lineRule="exact"/>
      <w:ind/>
    </w:pPr>
  </w:style>
  <w:style w:styleId="Style_9_ch" w:type="character">
    <w:name w:val="Знак Знак1 Знак Знак Знак Знак Знак Знак Знак Знак"/>
    <w:basedOn w:val="Style_7_ch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7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2 Char"/>
    <w:basedOn w:val="Style_15"/>
    <w:link w:val="Style_14_ch"/>
    <w:rPr>
      <w:rFonts w:ascii="Arial" w:hAnsi="Arial"/>
      <w:sz w:val="34"/>
    </w:rPr>
  </w:style>
  <w:style w:styleId="Style_14_ch" w:type="character">
    <w:name w:val="Heading 2 Char"/>
    <w:basedOn w:val="Style_15_ch"/>
    <w:link w:val="Style_14"/>
    <w:rPr>
      <w:rFonts w:ascii="Arial" w:hAnsi="Arial"/>
      <w:sz w:val="3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7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Balloon Text"/>
    <w:basedOn w:val="Style_7"/>
    <w:link w:val="Style_18_ch"/>
    <w:rPr>
      <w:rFonts w:ascii="Tahoma" w:hAnsi="Tahoma"/>
      <w:sz w:val="16"/>
    </w:rPr>
  </w:style>
  <w:style w:styleId="Style_18_ch" w:type="character">
    <w:name w:val="Balloon Text"/>
    <w:basedOn w:val="Style_7_ch"/>
    <w:link w:val="Style_18"/>
    <w:rPr>
      <w:rFonts w:ascii="Tahoma" w:hAnsi="Tahoma"/>
      <w:sz w:val="16"/>
    </w:rPr>
  </w:style>
  <w:style w:styleId="Style_19" w:type="paragraph">
    <w:name w:val="Endnote"/>
    <w:basedOn w:val="Style_7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"/>
    <w:basedOn w:val="Style_7_ch"/>
    <w:link w:val="Style_19"/>
    <w:rPr>
      <w:sz w:val="20"/>
    </w:rPr>
  </w:style>
  <w:style w:styleId="Style_20" w:type="paragraph">
    <w:name w:val="heading 9"/>
    <w:basedOn w:val="Style_7"/>
    <w:next w:val="Style_7"/>
    <w:link w:val="Style_2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7_ch"/>
    <w:link w:val="Style_20"/>
    <w:rPr>
      <w:rFonts w:ascii="Arial" w:hAnsi="Arial"/>
      <w:i w:val="1"/>
      <w:sz w:val="21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21" w:type="paragraph">
    <w:name w:val="Title Char"/>
    <w:basedOn w:val="Style_15"/>
    <w:link w:val="Style_21_ch"/>
    <w:rPr>
      <w:sz w:val="48"/>
    </w:rPr>
  </w:style>
  <w:style w:styleId="Style_21_ch" w:type="character">
    <w:name w:val="Title Char"/>
    <w:basedOn w:val="Style_15_ch"/>
    <w:link w:val="Style_21"/>
    <w:rPr>
      <w:sz w:val="48"/>
    </w:rPr>
  </w:style>
  <w:style w:styleId="Style_22" w:type="paragraph">
    <w:name w:val="Heading 3 Char"/>
    <w:basedOn w:val="Style_15"/>
    <w:link w:val="Style_22_ch"/>
    <w:rPr>
      <w:rFonts w:ascii="Arial" w:hAnsi="Arial"/>
      <w:sz w:val="30"/>
    </w:rPr>
  </w:style>
  <w:style w:styleId="Style_22_ch" w:type="character">
    <w:name w:val="Heading 3 Char"/>
    <w:basedOn w:val="Style_15_ch"/>
    <w:link w:val="Style_22"/>
    <w:rPr>
      <w:rFonts w:ascii="Arial" w:hAnsi="Arial"/>
      <w:sz w:val="30"/>
    </w:rPr>
  </w:style>
  <w:style w:styleId="Style_23" w:type="paragraph">
    <w:name w:val="Heading 4 Char"/>
    <w:basedOn w:val="Style_15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15_ch"/>
    <w:link w:val="Style_23"/>
    <w:rPr>
      <w:rFonts w:ascii="Arial" w:hAnsi="Arial"/>
      <w:b w:val="1"/>
      <w:sz w:val="26"/>
    </w:rPr>
  </w:style>
  <w:style w:styleId="Style_24" w:type="paragraph">
    <w:name w:val="toc 3"/>
    <w:next w:val="Style_7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6" w:type="paragraph">
    <w:name w:val="Quote"/>
    <w:basedOn w:val="Style_7"/>
    <w:next w:val="Style_7"/>
    <w:link w:val="Style_26_ch"/>
    <w:pPr>
      <w:ind w:firstLine="0" w:left="720" w:right="720"/>
    </w:pPr>
    <w:rPr>
      <w:i w:val="1"/>
    </w:rPr>
  </w:style>
  <w:style w:styleId="Style_26_ch" w:type="character">
    <w:name w:val="Quote"/>
    <w:basedOn w:val="Style_7_ch"/>
    <w:link w:val="Style_26"/>
    <w:rPr>
      <w:i w:val="1"/>
    </w:rPr>
  </w:style>
  <w:style w:styleId="Style_27" w:type="paragraph">
    <w:name w:val="Header Char"/>
    <w:basedOn w:val="Style_15"/>
    <w:link w:val="Style_27_ch"/>
  </w:style>
  <w:style w:styleId="Style_27_ch" w:type="character">
    <w:name w:val="Header Char"/>
    <w:basedOn w:val="Style_15_ch"/>
    <w:link w:val="Style_27"/>
  </w:style>
  <w:style w:styleId="Style_6" w:type="paragraph">
    <w:name w:val="Body Text 2"/>
    <w:basedOn w:val="Style_7"/>
    <w:link w:val="Style_6_ch"/>
    <w:pPr>
      <w:ind/>
      <w:jc w:val="center"/>
    </w:pPr>
    <w:rPr>
      <w:b w:val="1"/>
      <w:sz w:val="28"/>
    </w:rPr>
  </w:style>
  <w:style w:styleId="Style_6_ch" w:type="character">
    <w:name w:val="Body Text 2"/>
    <w:basedOn w:val="Style_7_ch"/>
    <w:link w:val="Style_6"/>
    <w:rPr>
      <w:b w:val="1"/>
      <w:sz w:val="28"/>
    </w:rPr>
  </w:style>
  <w:style w:styleId="Style_28" w:type="paragraph">
    <w:name w:val="Footer Char"/>
    <w:basedOn w:val="Style_15"/>
    <w:link w:val="Style_28_ch"/>
  </w:style>
  <w:style w:styleId="Style_28_ch" w:type="character">
    <w:name w:val="Footer Char"/>
    <w:basedOn w:val="Style_15_ch"/>
    <w:link w:val="Style_28"/>
  </w:style>
  <w:style w:styleId="Style_29" w:type="paragraph">
    <w:name w:val="Subtitle Char"/>
    <w:basedOn w:val="Style_15"/>
    <w:link w:val="Style_29_ch"/>
    <w:rPr>
      <w:sz w:val="24"/>
    </w:rPr>
  </w:style>
  <w:style w:styleId="Style_29_ch" w:type="character">
    <w:name w:val="Subtitle Char"/>
    <w:basedOn w:val="Style_15_ch"/>
    <w:link w:val="Style_29"/>
    <w:rPr>
      <w:sz w:val="24"/>
    </w:rPr>
  </w:style>
  <w:style w:styleId="Style_30" w:type="paragraph">
    <w:name w:val="heading 5"/>
    <w:next w:val="Style_7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Intense Quote"/>
    <w:basedOn w:val="Style_7"/>
    <w:next w:val="Style_7"/>
    <w:link w:val="Style_31_ch"/>
    <w:pPr>
      <w:ind w:firstLine="0" w:left="720" w:right="720"/>
      <w:contextualSpacing w:val="0"/>
    </w:pPr>
    <w:rPr>
      <w:i w:val="1"/>
    </w:rPr>
  </w:style>
  <w:style w:styleId="Style_31_ch" w:type="character">
    <w:name w:val="Intense Quote"/>
    <w:basedOn w:val="Style_7_ch"/>
    <w:link w:val="Style_31"/>
    <w:rPr>
      <w:i w:val="1"/>
    </w:rPr>
  </w:style>
  <w:style w:styleId="Style_32" w:type="paragraph">
    <w:name w:val="heading 1"/>
    <w:next w:val="Style_7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endnote reference"/>
    <w:basedOn w:val="Style_15"/>
    <w:link w:val="Style_33_ch"/>
    <w:rPr>
      <w:vertAlign w:val="superscript"/>
    </w:rPr>
  </w:style>
  <w:style w:styleId="Style_33_ch" w:type="character">
    <w:name w:val="endnote reference"/>
    <w:basedOn w:val="Style_15_ch"/>
    <w:link w:val="Style_33"/>
    <w:rPr>
      <w:vertAlign w:val="superscript"/>
    </w:rPr>
  </w:style>
  <w:style w:styleId="Style_34" w:type="paragraph">
    <w:name w:val="Caption"/>
    <w:basedOn w:val="Style_7"/>
    <w:next w:val="Style_7"/>
    <w:link w:val="Style_34_ch"/>
    <w:pPr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7_ch"/>
    <w:link w:val="Style_34"/>
    <w:rPr>
      <w:b w:val="1"/>
      <w:color w:themeColor="accent1" w:val="4F81BD"/>
      <w:sz w:val="18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5" w:type="paragraph">
    <w:name w:val="Footnote"/>
    <w:basedOn w:val="Style_7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7_ch"/>
    <w:link w:val="Style_35"/>
    <w:rPr>
      <w:sz w:val="18"/>
    </w:rPr>
  </w:style>
  <w:style w:styleId="Style_36" w:type="paragraph">
    <w:name w:val="heading 8"/>
    <w:basedOn w:val="Style_7"/>
    <w:next w:val="Style_7"/>
    <w:link w:val="Style_3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7_ch"/>
    <w:link w:val="Style_36"/>
    <w:rPr>
      <w:rFonts w:ascii="Arial" w:hAnsi="Arial"/>
      <w:i w:val="1"/>
      <w:sz w:val="22"/>
    </w:rPr>
  </w:style>
  <w:style w:styleId="Style_37" w:type="paragraph">
    <w:name w:val="toc 1"/>
    <w:next w:val="Style_7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ing 5 Char"/>
    <w:basedOn w:val="Style_15"/>
    <w:link w:val="Style_38_ch"/>
    <w:rPr>
      <w:rFonts w:ascii="Arial" w:hAnsi="Arial"/>
      <w:b w:val="1"/>
      <w:sz w:val="24"/>
    </w:rPr>
  </w:style>
  <w:style w:styleId="Style_38_ch" w:type="character">
    <w:name w:val="Heading 5 Char"/>
    <w:basedOn w:val="Style_15_ch"/>
    <w:link w:val="Style_38"/>
    <w:rPr>
      <w:rFonts w:ascii="Arial" w:hAnsi="Arial"/>
      <w:b w:val="1"/>
      <w:sz w:val="24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toc 9"/>
    <w:next w:val="Style_7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" w:type="paragraph">
    <w:name w:val="List Paragraph"/>
    <w:basedOn w:val="Style_7"/>
    <w:link w:val="Style_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7_ch"/>
    <w:link w:val="Style_4"/>
    <w:rPr>
      <w:rFonts w:ascii="Calibri" w:hAnsi="Calibri"/>
      <w:sz w:val="22"/>
    </w:rPr>
  </w:style>
  <w:style w:styleId="Style_42" w:type="paragraph">
    <w:name w:val="toc 8"/>
    <w:next w:val="Style_7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footnote reference"/>
    <w:basedOn w:val="Style_15"/>
    <w:link w:val="Style_43_ch"/>
    <w:rPr>
      <w:vertAlign w:val="superscript"/>
    </w:rPr>
  </w:style>
  <w:style w:styleId="Style_43_ch" w:type="character">
    <w:name w:val="footnote reference"/>
    <w:basedOn w:val="Style_15_ch"/>
    <w:link w:val="Style_43"/>
    <w:rPr>
      <w:vertAlign w:val="superscript"/>
    </w:rPr>
  </w:style>
  <w:style w:styleId="Style_44" w:type="paragraph">
    <w:name w:val="table of figures"/>
    <w:basedOn w:val="Style_7"/>
    <w:next w:val="Style_7"/>
    <w:link w:val="Style_44_ch"/>
    <w:pPr>
      <w:spacing w:after="0"/>
      <w:ind/>
    </w:pPr>
  </w:style>
  <w:style w:styleId="Style_44_ch" w:type="character">
    <w:name w:val="table of figures"/>
    <w:basedOn w:val="Style_7_ch"/>
    <w:link w:val="Style_44"/>
  </w:style>
  <w:style w:styleId="Style_45" w:type="paragraph">
    <w:name w:val="toc 5"/>
    <w:next w:val="Style_7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Heading 1 Char"/>
    <w:basedOn w:val="Style_15"/>
    <w:link w:val="Style_46_ch"/>
    <w:rPr>
      <w:rFonts w:ascii="Arial" w:hAnsi="Arial"/>
      <w:sz w:val="40"/>
    </w:rPr>
  </w:style>
  <w:style w:styleId="Style_46_ch" w:type="character">
    <w:name w:val="Heading 1 Char"/>
    <w:basedOn w:val="Style_15_ch"/>
    <w:link w:val="Style_46"/>
    <w:rPr>
      <w:rFonts w:ascii="Arial" w:hAnsi="Arial"/>
      <w:sz w:val="40"/>
    </w:rPr>
  </w:style>
  <w:style w:styleId="Style_47" w:type="paragraph">
    <w:name w:val="No Spacing"/>
    <w:link w:val="Style_47_ch"/>
    <w:pPr>
      <w:spacing w:after="0" w:before="0" w:line="240" w:lineRule="auto"/>
      <w:ind/>
    </w:pPr>
  </w:style>
  <w:style w:styleId="Style_47_ch" w:type="character">
    <w:name w:val="No Spacing"/>
    <w:link w:val="Style_47"/>
  </w:style>
  <w:style w:styleId="Style_48" w:type="paragraph">
    <w:name w:val="Subtitle"/>
    <w:next w:val="Style_7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9" w:type="paragraph">
    <w:name w:val="Title"/>
    <w:next w:val="Style_7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7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7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7"/>
    <w:next w:val="Style_7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7_ch"/>
    <w:link w:val="Style_52"/>
    <w:rPr>
      <w:rFonts w:ascii="Arial" w:hAnsi="Arial"/>
      <w:b w:val="1"/>
      <w:sz w:val="22"/>
    </w:rPr>
  </w:style>
  <w:style w:styleId="Style_53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5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6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7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9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1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4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5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67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8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0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1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72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3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4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5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7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8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9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3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4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5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6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7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9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0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1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3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4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5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97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9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2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3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6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7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9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112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4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5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118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20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5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26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8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0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3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1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4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7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8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9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1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3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4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7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58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9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1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2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4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5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6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168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69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1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3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4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6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7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8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2026-01-13T13:05:50Z</dcterms:modified>
</cp:coreProperties>
</file>